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3" w:rsidRPr="00B1353C" w:rsidRDefault="003661C3" w:rsidP="003661C3">
      <w:pPr>
        <w:pStyle w:val="Default"/>
        <w:jc w:val="both"/>
        <w:rPr>
          <w:rFonts w:ascii="Trebuchet MS" w:hAnsi="Trebuchet MS"/>
          <w:b/>
          <w:bCs/>
        </w:rPr>
      </w:pPr>
      <w:bookmarkStart w:id="0" w:name="_GoBack"/>
      <w:bookmarkEnd w:id="0"/>
    </w:p>
    <w:p w:rsidR="003661C3" w:rsidRPr="00B1353C" w:rsidRDefault="003661C3" w:rsidP="003661C3">
      <w:pPr>
        <w:pStyle w:val="Default"/>
        <w:jc w:val="both"/>
        <w:rPr>
          <w:rFonts w:ascii="Trebuchet MS" w:hAnsi="Trebuchet MS"/>
          <w:b/>
          <w:bCs/>
        </w:rPr>
      </w:pPr>
    </w:p>
    <w:p w:rsidR="00E2628E" w:rsidRPr="00B1353C" w:rsidRDefault="00E2628E" w:rsidP="00E2628E">
      <w:pPr>
        <w:pStyle w:val="Default"/>
        <w:jc w:val="center"/>
        <w:rPr>
          <w:rFonts w:ascii="Trebuchet MS" w:hAnsi="Trebuchet MS"/>
          <w:b/>
          <w:bCs/>
          <w:sz w:val="32"/>
          <w:szCs w:val="32"/>
        </w:rPr>
      </w:pPr>
    </w:p>
    <w:p w:rsidR="00E2628E" w:rsidRPr="00B1353C" w:rsidRDefault="00E2628E" w:rsidP="00E2628E">
      <w:pPr>
        <w:pStyle w:val="Default"/>
        <w:jc w:val="center"/>
        <w:rPr>
          <w:rFonts w:ascii="Trebuchet MS" w:hAnsi="Trebuchet MS"/>
          <w:b/>
          <w:bCs/>
          <w:sz w:val="32"/>
          <w:szCs w:val="32"/>
        </w:rPr>
      </w:pPr>
    </w:p>
    <w:p w:rsidR="00E2628E" w:rsidRPr="00B1353C" w:rsidRDefault="00E2628E" w:rsidP="00E2628E">
      <w:pPr>
        <w:pStyle w:val="Default"/>
        <w:jc w:val="center"/>
        <w:rPr>
          <w:rFonts w:ascii="Trebuchet MS" w:hAnsi="Trebuchet MS"/>
          <w:b/>
          <w:bCs/>
          <w:sz w:val="32"/>
          <w:szCs w:val="32"/>
        </w:rPr>
      </w:pPr>
    </w:p>
    <w:p w:rsidR="00E2628E" w:rsidRPr="00B1353C" w:rsidRDefault="00E2628E" w:rsidP="00E2628E">
      <w:pPr>
        <w:pStyle w:val="Default"/>
        <w:jc w:val="center"/>
        <w:rPr>
          <w:rFonts w:ascii="Trebuchet MS" w:hAnsi="Trebuchet MS"/>
          <w:b/>
          <w:bCs/>
          <w:sz w:val="32"/>
          <w:szCs w:val="32"/>
        </w:rPr>
      </w:pPr>
    </w:p>
    <w:p w:rsidR="00E2628E" w:rsidRPr="00B1353C" w:rsidRDefault="00E2628E" w:rsidP="00E2628E">
      <w:pPr>
        <w:pStyle w:val="Default"/>
        <w:jc w:val="center"/>
        <w:rPr>
          <w:rFonts w:ascii="Trebuchet MS" w:hAnsi="Trebuchet MS"/>
          <w:b/>
          <w:bCs/>
          <w:sz w:val="32"/>
          <w:szCs w:val="32"/>
        </w:rPr>
      </w:pPr>
    </w:p>
    <w:p w:rsidR="00E2628E" w:rsidRPr="00B1353C" w:rsidRDefault="002F4AB7" w:rsidP="00E2628E">
      <w:pPr>
        <w:pStyle w:val="Default"/>
        <w:jc w:val="center"/>
        <w:rPr>
          <w:rFonts w:ascii="Trebuchet MS" w:eastAsia="@헤드라인A" w:hAnsi="Trebuchet MS"/>
          <w:b/>
          <w:color w:val="17365D"/>
          <w:spacing w:val="5"/>
          <w:kern w:val="28"/>
          <w:sz w:val="52"/>
          <w:szCs w:val="36"/>
        </w:rPr>
      </w:pPr>
      <w:r>
        <w:rPr>
          <w:rFonts w:ascii="Trebuchet MS" w:eastAsia="@헤드라인A" w:hAnsi="Trebuchet MS"/>
          <w:b/>
          <w:color w:val="17365D"/>
          <w:spacing w:val="5"/>
          <w:kern w:val="28"/>
          <w:sz w:val="52"/>
          <w:szCs w:val="36"/>
        </w:rPr>
        <w:t>Procurement</w:t>
      </w:r>
      <w:r w:rsidR="005C7CF0" w:rsidRPr="00B1353C">
        <w:rPr>
          <w:rFonts w:ascii="Trebuchet MS" w:eastAsia="@헤드라인A" w:hAnsi="Trebuchet MS"/>
          <w:b/>
          <w:color w:val="17365D"/>
          <w:spacing w:val="5"/>
          <w:kern w:val="28"/>
          <w:sz w:val="52"/>
          <w:szCs w:val="36"/>
        </w:rPr>
        <w:t xml:space="preserve"> Policy</w:t>
      </w:r>
    </w:p>
    <w:p w:rsidR="00CE3ACD" w:rsidRPr="00B1353C" w:rsidRDefault="00CE3ACD">
      <w:pPr>
        <w:rPr>
          <w:rFonts w:ascii="Trebuchet MS" w:hAnsi="Trebuchet MS" w:cs="Arial"/>
          <w:b/>
          <w:bCs/>
          <w:color w:val="000000"/>
          <w:sz w:val="24"/>
          <w:szCs w:val="24"/>
        </w:rPr>
      </w:pPr>
    </w:p>
    <w:p w:rsidR="003661C3" w:rsidRPr="00B1353C" w:rsidRDefault="003661C3" w:rsidP="003661C3">
      <w:pPr>
        <w:pStyle w:val="Default"/>
        <w:jc w:val="both"/>
        <w:rPr>
          <w:rFonts w:ascii="Trebuchet MS" w:hAnsi="Trebuchet MS"/>
          <w:b/>
          <w:bCs/>
        </w:rPr>
      </w:pPr>
    </w:p>
    <w:p w:rsidR="003661C3" w:rsidRPr="00B1353C" w:rsidRDefault="003661C3" w:rsidP="003661C3">
      <w:pPr>
        <w:pStyle w:val="Default"/>
        <w:jc w:val="both"/>
        <w:rPr>
          <w:rFonts w:ascii="Trebuchet MS" w:hAnsi="Trebuchet MS"/>
          <w:b/>
          <w:bCs/>
        </w:rPr>
      </w:pPr>
    </w:p>
    <w:p w:rsidR="003661C3" w:rsidRPr="00B1353C" w:rsidRDefault="00B1353C" w:rsidP="00B1353C">
      <w:pPr>
        <w:pStyle w:val="Default"/>
        <w:jc w:val="center"/>
        <w:rPr>
          <w:rFonts w:ascii="Trebuchet MS" w:hAnsi="Trebuchet MS"/>
          <w:b/>
          <w:bCs/>
        </w:rPr>
      </w:pPr>
      <w:r w:rsidRPr="00B1353C">
        <w:rPr>
          <w:rFonts w:ascii="Trebuchet MS" w:hAnsi="Trebuchet MS"/>
          <w:noProof/>
          <w:lang w:eastAsia="en-GB"/>
        </w:rPr>
        <w:drawing>
          <wp:inline distT="0" distB="0" distL="0" distR="0" wp14:anchorId="3393C302" wp14:editId="46ACF8D8">
            <wp:extent cx="4309435" cy="2035834"/>
            <wp:effectExtent l="0" t="0" r="0" b="2540"/>
            <wp:docPr id="1" name="Picture 1"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25" cy="2036869"/>
                    </a:xfrm>
                    <a:prstGeom prst="rect">
                      <a:avLst/>
                    </a:prstGeom>
                    <a:noFill/>
                    <a:ln>
                      <a:noFill/>
                    </a:ln>
                  </pic:spPr>
                </pic:pic>
              </a:graphicData>
            </a:graphic>
          </wp:inline>
        </w:drawing>
      </w:r>
    </w:p>
    <w:p w:rsidR="003661C3" w:rsidRPr="00B1353C" w:rsidRDefault="003661C3" w:rsidP="003D7F91">
      <w:pPr>
        <w:pStyle w:val="Default"/>
        <w:jc w:val="center"/>
        <w:rPr>
          <w:rFonts w:ascii="Trebuchet MS" w:hAnsi="Trebuchet MS"/>
          <w:b/>
          <w:bCs/>
        </w:rPr>
      </w:pPr>
    </w:p>
    <w:p w:rsidR="003661C3" w:rsidRPr="00B1353C" w:rsidRDefault="003661C3" w:rsidP="003D7F91">
      <w:pPr>
        <w:pStyle w:val="Default"/>
        <w:jc w:val="center"/>
        <w:rPr>
          <w:rFonts w:ascii="Trebuchet MS" w:hAnsi="Trebuchet MS"/>
          <w:b/>
          <w:bCs/>
        </w:rPr>
      </w:pPr>
    </w:p>
    <w:p w:rsidR="003661C3" w:rsidRPr="00B1353C" w:rsidRDefault="003661C3" w:rsidP="003661C3">
      <w:pPr>
        <w:pStyle w:val="Default"/>
        <w:jc w:val="both"/>
        <w:rPr>
          <w:rFonts w:ascii="Trebuchet MS" w:hAnsi="Trebuchet MS"/>
          <w:b/>
          <w:bCs/>
        </w:rPr>
      </w:pPr>
    </w:p>
    <w:p w:rsidR="00E2628E" w:rsidRPr="00B1353C" w:rsidRDefault="00E2628E" w:rsidP="003661C3">
      <w:pPr>
        <w:pStyle w:val="Default"/>
        <w:jc w:val="both"/>
        <w:rPr>
          <w:rFonts w:ascii="Trebuchet MS" w:hAnsi="Trebuchet MS"/>
          <w:b/>
          <w:bCs/>
        </w:rPr>
      </w:pPr>
    </w:p>
    <w:p w:rsidR="00E2628E" w:rsidRPr="00B1353C" w:rsidRDefault="00E2628E" w:rsidP="003661C3">
      <w:pPr>
        <w:pStyle w:val="Default"/>
        <w:jc w:val="both"/>
        <w:rPr>
          <w:rFonts w:ascii="Trebuchet MS" w:hAnsi="Trebuchet MS"/>
          <w:b/>
          <w:bCs/>
        </w:rPr>
      </w:pPr>
    </w:p>
    <w:p w:rsidR="00E2628E" w:rsidRPr="00B1353C" w:rsidRDefault="00E2628E" w:rsidP="003661C3">
      <w:pPr>
        <w:pStyle w:val="Default"/>
        <w:jc w:val="both"/>
        <w:rPr>
          <w:rFonts w:ascii="Trebuchet MS" w:hAnsi="Trebuchet MS"/>
          <w:b/>
          <w:bCs/>
        </w:rPr>
      </w:pPr>
    </w:p>
    <w:p w:rsidR="00E2628E" w:rsidRPr="00B1353C" w:rsidRDefault="00E2628E" w:rsidP="003661C3">
      <w:pPr>
        <w:pStyle w:val="Default"/>
        <w:jc w:val="both"/>
        <w:rPr>
          <w:rFonts w:ascii="Trebuchet MS" w:hAnsi="Trebuchet MS"/>
          <w:b/>
          <w:bCs/>
        </w:rPr>
      </w:pPr>
    </w:p>
    <w:p w:rsidR="00E2628E" w:rsidRPr="00B1353C" w:rsidRDefault="00E2628E" w:rsidP="003661C3">
      <w:pPr>
        <w:pStyle w:val="Default"/>
        <w:jc w:val="both"/>
        <w:rPr>
          <w:rFonts w:ascii="Trebuchet MS" w:hAnsi="Trebuchet MS"/>
          <w:b/>
          <w:bCs/>
        </w:rPr>
      </w:pPr>
    </w:p>
    <w:p w:rsidR="00E2628E" w:rsidRPr="00B1353C" w:rsidRDefault="00E2628E" w:rsidP="003661C3">
      <w:pPr>
        <w:pStyle w:val="Default"/>
        <w:jc w:val="both"/>
        <w:rPr>
          <w:rFonts w:ascii="Trebuchet MS" w:hAnsi="Trebuchet MS"/>
          <w:b/>
          <w:bCs/>
        </w:rPr>
      </w:pPr>
    </w:p>
    <w:p w:rsidR="0054735B" w:rsidRPr="00B1353C" w:rsidRDefault="0054735B" w:rsidP="003661C3">
      <w:pPr>
        <w:pStyle w:val="Default"/>
        <w:jc w:val="both"/>
        <w:rPr>
          <w:rFonts w:ascii="Trebuchet MS" w:hAnsi="Trebuchet MS"/>
          <w:b/>
          <w:bCs/>
        </w:rPr>
      </w:pPr>
    </w:p>
    <w:p w:rsidR="0054735B" w:rsidRPr="00B1353C" w:rsidRDefault="0054735B" w:rsidP="003661C3">
      <w:pPr>
        <w:pStyle w:val="Default"/>
        <w:jc w:val="both"/>
        <w:rPr>
          <w:rFonts w:ascii="Trebuchet MS" w:hAnsi="Trebuchet MS"/>
          <w:b/>
          <w:bCs/>
        </w:rPr>
      </w:pPr>
    </w:p>
    <w:p w:rsidR="0054735B" w:rsidRPr="00B1353C" w:rsidRDefault="0054735B" w:rsidP="003661C3">
      <w:pPr>
        <w:pStyle w:val="Default"/>
        <w:jc w:val="both"/>
        <w:rPr>
          <w:rFonts w:ascii="Trebuchet MS" w:hAnsi="Trebuchet MS"/>
          <w:b/>
          <w:bCs/>
        </w:rPr>
      </w:pPr>
    </w:p>
    <w:p w:rsidR="00B1353C" w:rsidRPr="00B1353C" w:rsidRDefault="00B1353C" w:rsidP="00B1353C">
      <w:pPr>
        <w:spacing w:line="360" w:lineRule="auto"/>
        <w:ind w:left="-284"/>
        <w:rPr>
          <w:rFonts w:ascii="Trebuchet MS" w:hAnsi="Trebuchet MS"/>
          <w:b/>
          <w:color w:val="00B0F0"/>
          <w:sz w:val="28"/>
          <w:szCs w:val="28"/>
        </w:rPr>
      </w:pPr>
      <w:r w:rsidRPr="00B1353C">
        <w:rPr>
          <w:rFonts w:ascii="Trebuchet MS" w:hAnsi="Trebuchet MS"/>
          <w:b/>
          <w:color w:val="00B0F0"/>
          <w:sz w:val="28"/>
          <w:szCs w:val="28"/>
        </w:rPr>
        <w:t>Education is for improving lives and for leaving your community and world better than you found it.</w:t>
      </w:r>
    </w:p>
    <w:p w:rsidR="0054735B" w:rsidRPr="00B1353C" w:rsidRDefault="0054735B" w:rsidP="003661C3">
      <w:pPr>
        <w:pStyle w:val="Default"/>
        <w:jc w:val="both"/>
        <w:rPr>
          <w:rFonts w:ascii="Trebuchet MS" w:hAnsi="Trebuchet MS"/>
          <w:b/>
          <w:bCs/>
        </w:rPr>
      </w:pPr>
    </w:p>
    <w:p w:rsidR="0054735B" w:rsidRPr="00B1353C" w:rsidRDefault="0054735B" w:rsidP="003661C3">
      <w:pPr>
        <w:pStyle w:val="Default"/>
        <w:jc w:val="both"/>
        <w:rPr>
          <w:rFonts w:ascii="Trebuchet MS" w:hAnsi="Trebuchet MS"/>
          <w:b/>
          <w:bCs/>
        </w:rPr>
      </w:pPr>
    </w:p>
    <w:p w:rsidR="0054735B" w:rsidRPr="00B1353C" w:rsidRDefault="0054735B" w:rsidP="003661C3">
      <w:pPr>
        <w:pStyle w:val="Default"/>
        <w:jc w:val="both"/>
        <w:rPr>
          <w:rFonts w:ascii="Trebuchet MS" w:hAnsi="Trebuchet MS"/>
          <w:b/>
          <w:bCs/>
        </w:rPr>
      </w:pPr>
    </w:p>
    <w:p w:rsidR="0054735B" w:rsidRPr="00B1353C" w:rsidRDefault="0054735B" w:rsidP="003661C3">
      <w:pPr>
        <w:pStyle w:val="Default"/>
        <w:jc w:val="both"/>
        <w:rPr>
          <w:rFonts w:ascii="Trebuchet MS" w:hAnsi="Trebuchet MS"/>
          <w:b/>
          <w:bCs/>
        </w:rPr>
      </w:pPr>
    </w:p>
    <w:sdt>
      <w:sdtPr>
        <w:rPr>
          <w:rFonts w:asciiTheme="minorHAnsi" w:eastAsiaTheme="minorHAnsi" w:hAnsiTheme="minorHAnsi" w:cstheme="minorBidi"/>
          <w:b w:val="0"/>
          <w:bCs w:val="0"/>
          <w:color w:val="auto"/>
          <w:sz w:val="22"/>
          <w:szCs w:val="22"/>
          <w:lang w:val="en-GB" w:eastAsia="en-US"/>
        </w:rPr>
        <w:id w:val="-1127005263"/>
        <w:docPartObj>
          <w:docPartGallery w:val="Table of Contents"/>
          <w:docPartUnique/>
        </w:docPartObj>
      </w:sdtPr>
      <w:sdtEndPr>
        <w:rPr>
          <w:noProof/>
        </w:rPr>
      </w:sdtEndPr>
      <w:sdtContent>
        <w:p w:rsidR="009E4B26" w:rsidRPr="00802F5B" w:rsidRDefault="009E4B26">
          <w:pPr>
            <w:pStyle w:val="TOCHeading"/>
            <w:rPr>
              <w:rFonts w:ascii="Trebuchet MS" w:hAnsi="Trebuchet MS"/>
              <w:sz w:val="22"/>
              <w:szCs w:val="22"/>
            </w:rPr>
          </w:pPr>
          <w:r w:rsidRPr="00802F5B">
            <w:rPr>
              <w:rFonts w:ascii="Trebuchet MS" w:hAnsi="Trebuchet MS"/>
              <w:sz w:val="22"/>
              <w:szCs w:val="22"/>
            </w:rPr>
            <w:t>Contents</w:t>
          </w:r>
        </w:p>
        <w:p w:rsidR="00802F5B" w:rsidRPr="00802F5B" w:rsidRDefault="009E4B26">
          <w:pPr>
            <w:pStyle w:val="TOC1"/>
            <w:tabs>
              <w:tab w:val="left" w:pos="440"/>
              <w:tab w:val="right" w:leader="dot" w:pos="9016"/>
            </w:tabs>
            <w:rPr>
              <w:rFonts w:ascii="Trebuchet MS" w:eastAsiaTheme="minorEastAsia" w:hAnsi="Trebuchet MS"/>
              <w:noProof/>
              <w:lang w:eastAsia="en-GB"/>
            </w:rPr>
          </w:pPr>
          <w:r w:rsidRPr="00802F5B">
            <w:rPr>
              <w:rFonts w:ascii="Trebuchet MS" w:hAnsi="Trebuchet MS"/>
            </w:rPr>
            <w:fldChar w:fldCharType="begin"/>
          </w:r>
          <w:r w:rsidRPr="00802F5B">
            <w:rPr>
              <w:rFonts w:ascii="Trebuchet MS" w:hAnsi="Trebuchet MS"/>
            </w:rPr>
            <w:instrText xml:space="preserve"> TOC \o "1-3" \h \z \u </w:instrText>
          </w:r>
          <w:r w:rsidRPr="00802F5B">
            <w:rPr>
              <w:rFonts w:ascii="Trebuchet MS" w:hAnsi="Trebuchet MS"/>
            </w:rPr>
            <w:fldChar w:fldCharType="separate"/>
          </w:r>
          <w:hyperlink w:anchor="_Toc511124965" w:history="1">
            <w:r w:rsidR="00802F5B" w:rsidRPr="00802F5B">
              <w:rPr>
                <w:rStyle w:val="Hyperlink"/>
                <w:rFonts w:ascii="Trebuchet MS" w:hAnsi="Trebuchet MS" w:cs="Arial"/>
                <w:noProof/>
              </w:rPr>
              <w:t>1.</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Introduction</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_Toc511124965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3</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66" w:history="1">
            <w:r w:rsidR="00802F5B" w:rsidRPr="00802F5B">
              <w:rPr>
                <w:rStyle w:val="Hyperlink"/>
                <w:rFonts w:ascii="Trebuchet MS" w:hAnsi="Trebuchet MS" w:cs="Arial"/>
                <w:noProof/>
              </w:rPr>
              <w:t>2.</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Principles</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_Toc511124966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3</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67" w:history="1">
            <w:r w:rsidR="00802F5B" w:rsidRPr="00802F5B">
              <w:rPr>
                <w:rStyle w:val="Hyperlink"/>
                <w:rFonts w:ascii="Trebuchet MS" w:hAnsi="Trebuchet MS"/>
                <w:noProof/>
              </w:rPr>
              <w:t>3.</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Valuing the Contract</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_Toc511124967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4</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68" w:history="1">
            <w:r w:rsidR="00802F5B" w:rsidRPr="00802F5B">
              <w:rPr>
                <w:rStyle w:val="Hyperlink"/>
                <w:rFonts w:ascii="Trebuchet MS" w:hAnsi="Trebuchet MS" w:cs="Arial"/>
                <w:noProof/>
              </w:rPr>
              <w:t>4.</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Connected parties</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_Toc511124968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4</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69" w:history="1">
            <w:r w:rsidR="00802F5B" w:rsidRPr="00802F5B">
              <w:rPr>
                <w:rStyle w:val="Hyperlink"/>
                <w:rFonts w:ascii="Trebuchet MS" w:hAnsi="Trebuchet MS" w:cs="Arial"/>
                <w:noProof/>
              </w:rPr>
              <w:t>5.</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Using Frameworks</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_Toc511124969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5</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70" w:history="1">
            <w:r w:rsidR="00802F5B" w:rsidRPr="00802F5B">
              <w:rPr>
                <w:rStyle w:val="Hyperlink"/>
                <w:rFonts w:ascii="Trebuchet MS" w:hAnsi="Trebuchet MS" w:cs="Arial"/>
                <w:noProof/>
              </w:rPr>
              <w:t>6.</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Contracts over 1 Year</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_Toc511124970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5</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71" w:history="1">
            <w:r w:rsidR="00802F5B" w:rsidRPr="00802F5B">
              <w:rPr>
                <w:rStyle w:val="Hyperlink"/>
                <w:rFonts w:ascii="Trebuchet MS" w:hAnsi="Trebuchet MS" w:cs="Arial"/>
                <w:noProof/>
              </w:rPr>
              <w:t>7.</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Purchasing collaboratively</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_Toc511124971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6</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72" w:history="1">
            <w:r w:rsidR="00802F5B" w:rsidRPr="00802F5B">
              <w:rPr>
                <w:rStyle w:val="Hyperlink"/>
                <w:rFonts w:ascii="Trebuchet MS" w:hAnsi="Trebuchet MS" w:cs="Arial"/>
                <w:noProof/>
              </w:rPr>
              <w:t>8.</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TUPE</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_Toc511124972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6</w:t>
            </w:r>
            <w:r w:rsidR="00802F5B" w:rsidRPr="00802F5B">
              <w:rPr>
                <w:rFonts w:ascii="Trebuchet MS" w:hAnsi="Trebuchet MS"/>
                <w:noProof/>
                <w:webHidden/>
              </w:rPr>
              <w:fldChar w:fldCharType="end"/>
            </w:r>
          </w:hyperlink>
        </w:p>
        <w:p w:rsidR="00802F5B" w:rsidRPr="00802F5B" w:rsidRDefault="00B84196">
          <w:pPr>
            <w:pStyle w:val="TOC1"/>
            <w:tabs>
              <w:tab w:val="left" w:pos="440"/>
              <w:tab w:val="right" w:leader="dot" w:pos="9016"/>
            </w:tabs>
            <w:rPr>
              <w:rFonts w:ascii="Trebuchet MS" w:eastAsiaTheme="minorEastAsia" w:hAnsi="Trebuchet MS"/>
              <w:noProof/>
              <w:lang w:eastAsia="en-GB"/>
            </w:rPr>
          </w:pPr>
          <w:hyperlink w:anchor="_Toc511124973" w:history="1">
            <w:r w:rsidR="00802F5B" w:rsidRPr="00802F5B">
              <w:rPr>
                <w:rStyle w:val="Hyperlink"/>
                <w:rFonts w:ascii="Trebuchet MS" w:hAnsi="Trebuchet MS" w:cs="Arial"/>
                <w:noProof/>
              </w:rPr>
              <w:t>9.</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Low Value Contracts (less than £10,000)</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_Toc511124973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6</w:t>
            </w:r>
            <w:r w:rsidR="00802F5B" w:rsidRPr="00802F5B">
              <w:rPr>
                <w:rFonts w:ascii="Trebuchet MS" w:hAnsi="Trebuchet MS"/>
                <w:noProof/>
                <w:webHidden/>
              </w:rPr>
              <w:fldChar w:fldCharType="end"/>
            </w:r>
          </w:hyperlink>
        </w:p>
        <w:p w:rsidR="00802F5B" w:rsidRPr="00802F5B" w:rsidRDefault="00B84196">
          <w:pPr>
            <w:pStyle w:val="TOC1"/>
            <w:tabs>
              <w:tab w:val="left" w:pos="660"/>
              <w:tab w:val="right" w:leader="dot" w:pos="9016"/>
            </w:tabs>
            <w:rPr>
              <w:rFonts w:ascii="Trebuchet MS" w:eastAsiaTheme="minorEastAsia" w:hAnsi="Trebuchet MS"/>
              <w:noProof/>
              <w:lang w:eastAsia="en-GB"/>
            </w:rPr>
          </w:pPr>
          <w:hyperlink w:anchor="_Toc511124974" w:history="1">
            <w:r w:rsidR="00802F5B" w:rsidRPr="00802F5B">
              <w:rPr>
                <w:rStyle w:val="Hyperlink"/>
                <w:rFonts w:ascii="Trebuchet MS" w:hAnsi="Trebuchet MS" w:cs="Arial"/>
                <w:noProof/>
              </w:rPr>
              <w:t>10.</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Medium Value Contracts (up to £100,000)</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_Toc511124974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7</w:t>
            </w:r>
            <w:r w:rsidR="00802F5B" w:rsidRPr="00802F5B">
              <w:rPr>
                <w:rFonts w:ascii="Trebuchet MS" w:hAnsi="Trebuchet MS"/>
                <w:noProof/>
                <w:webHidden/>
              </w:rPr>
              <w:fldChar w:fldCharType="end"/>
            </w:r>
          </w:hyperlink>
        </w:p>
        <w:p w:rsidR="00802F5B" w:rsidRPr="00802F5B" w:rsidRDefault="00B84196">
          <w:pPr>
            <w:pStyle w:val="TOC1"/>
            <w:tabs>
              <w:tab w:val="left" w:pos="660"/>
              <w:tab w:val="right" w:leader="dot" w:pos="9016"/>
            </w:tabs>
            <w:rPr>
              <w:rFonts w:ascii="Trebuchet MS" w:eastAsiaTheme="minorEastAsia" w:hAnsi="Trebuchet MS"/>
              <w:noProof/>
              <w:lang w:eastAsia="en-GB"/>
            </w:rPr>
          </w:pPr>
          <w:hyperlink w:anchor="_Toc511124975" w:history="1">
            <w:r w:rsidR="00802F5B" w:rsidRPr="00802F5B">
              <w:rPr>
                <w:rStyle w:val="Hyperlink"/>
                <w:rFonts w:ascii="Trebuchet MS" w:hAnsi="Trebuchet MS" w:cs="Arial"/>
                <w:noProof/>
              </w:rPr>
              <w:t>11.</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High Value Contracts (over £100,000)</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_Toc511124975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7</w:t>
            </w:r>
            <w:r w:rsidR="00802F5B" w:rsidRPr="00802F5B">
              <w:rPr>
                <w:rFonts w:ascii="Trebuchet MS" w:hAnsi="Trebuchet MS"/>
                <w:noProof/>
                <w:webHidden/>
              </w:rPr>
              <w:fldChar w:fldCharType="end"/>
            </w:r>
          </w:hyperlink>
        </w:p>
        <w:p w:rsidR="00802F5B" w:rsidRPr="00802F5B" w:rsidRDefault="00B84196">
          <w:pPr>
            <w:pStyle w:val="TOC1"/>
            <w:tabs>
              <w:tab w:val="left" w:pos="660"/>
              <w:tab w:val="right" w:leader="dot" w:pos="9016"/>
            </w:tabs>
            <w:rPr>
              <w:rFonts w:ascii="Trebuchet MS" w:eastAsiaTheme="minorEastAsia" w:hAnsi="Trebuchet MS"/>
              <w:noProof/>
              <w:lang w:eastAsia="en-GB"/>
            </w:rPr>
          </w:pPr>
          <w:hyperlink w:anchor="_Toc511124976" w:history="1">
            <w:r w:rsidR="00802F5B" w:rsidRPr="00802F5B">
              <w:rPr>
                <w:rStyle w:val="Hyperlink"/>
                <w:rFonts w:ascii="Trebuchet MS" w:hAnsi="Trebuchet MS" w:cs="Arial"/>
                <w:noProof/>
              </w:rPr>
              <w:t>12.</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OJEU Process (over EU procurement threshold)</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_Toc511124976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8</w:t>
            </w:r>
            <w:r w:rsidR="00802F5B" w:rsidRPr="00802F5B">
              <w:rPr>
                <w:rFonts w:ascii="Trebuchet MS" w:hAnsi="Trebuchet MS"/>
                <w:noProof/>
                <w:webHidden/>
              </w:rPr>
              <w:fldChar w:fldCharType="end"/>
            </w:r>
          </w:hyperlink>
        </w:p>
        <w:p w:rsidR="00802F5B" w:rsidRPr="00802F5B" w:rsidRDefault="00B84196">
          <w:pPr>
            <w:pStyle w:val="TOC1"/>
            <w:tabs>
              <w:tab w:val="left" w:pos="660"/>
              <w:tab w:val="right" w:leader="dot" w:pos="9016"/>
            </w:tabs>
            <w:rPr>
              <w:rFonts w:ascii="Trebuchet MS" w:eastAsiaTheme="minorEastAsia" w:hAnsi="Trebuchet MS"/>
              <w:noProof/>
              <w:lang w:eastAsia="en-GB"/>
            </w:rPr>
          </w:pPr>
          <w:hyperlink w:anchor="_Toc511124977" w:history="1">
            <w:r w:rsidR="00802F5B" w:rsidRPr="00802F5B">
              <w:rPr>
                <w:rStyle w:val="Hyperlink"/>
                <w:rFonts w:ascii="Trebuchet MS" w:hAnsi="Trebuchet MS" w:cs="Arial"/>
                <w:noProof/>
              </w:rPr>
              <w:t>13.</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Record Keeping</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_Toc511124977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8</w:t>
            </w:r>
            <w:r w:rsidR="00802F5B" w:rsidRPr="00802F5B">
              <w:rPr>
                <w:rFonts w:ascii="Trebuchet MS" w:hAnsi="Trebuchet MS"/>
                <w:noProof/>
                <w:webHidden/>
              </w:rPr>
              <w:fldChar w:fldCharType="end"/>
            </w:r>
          </w:hyperlink>
        </w:p>
        <w:p w:rsidR="00802F5B" w:rsidRPr="00802F5B" w:rsidRDefault="00B84196">
          <w:pPr>
            <w:pStyle w:val="TOC1"/>
            <w:tabs>
              <w:tab w:val="left" w:pos="660"/>
              <w:tab w:val="right" w:leader="dot" w:pos="9016"/>
            </w:tabs>
            <w:rPr>
              <w:rFonts w:ascii="Trebuchet MS" w:eastAsiaTheme="minorEastAsia" w:hAnsi="Trebuchet MS"/>
              <w:noProof/>
              <w:lang w:eastAsia="en-GB"/>
            </w:rPr>
          </w:pPr>
          <w:hyperlink w:anchor="_Toc511124978" w:history="1">
            <w:r w:rsidR="00802F5B" w:rsidRPr="00802F5B">
              <w:rPr>
                <w:rStyle w:val="Hyperlink"/>
                <w:rFonts w:ascii="Trebuchet MS" w:hAnsi="Trebuchet MS" w:cs="Arial"/>
                <w:noProof/>
              </w:rPr>
              <w:t>14.</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Exceptions to this Policy</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_Toc511124978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9</w:t>
            </w:r>
            <w:r w:rsidR="00802F5B" w:rsidRPr="00802F5B">
              <w:rPr>
                <w:rFonts w:ascii="Trebuchet MS" w:hAnsi="Trebuchet MS"/>
                <w:noProof/>
                <w:webHidden/>
              </w:rPr>
              <w:fldChar w:fldCharType="end"/>
            </w:r>
          </w:hyperlink>
        </w:p>
        <w:p w:rsidR="00802F5B" w:rsidRPr="00802F5B" w:rsidRDefault="00B84196">
          <w:pPr>
            <w:pStyle w:val="TOC1"/>
            <w:tabs>
              <w:tab w:val="left" w:pos="660"/>
              <w:tab w:val="right" w:leader="dot" w:pos="9016"/>
            </w:tabs>
            <w:rPr>
              <w:rFonts w:ascii="Trebuchet MS" w:eastAsiaTheme="minorEastAsia" w:hAnsi="Trebuchet MS"/>
              <w:noProof/>
              <w:lang w:eastAsia="en-GB"/>
            </w:rPr>
          </w:pPr>
          <w:hyperlink w:anchor="_Toc511124979" w:history="1">
            <w:r w:rsidR="00802F5B" w:rsidRPr="00802F5B">
              <w:rPr>
                <w:rStyle w:val="Hyperlink"/>
                <w:rFonts w:ascii="Trebuchet MS" w:hAnsi="Trebuchet MS" w:cs="Arial"/>
                <w:noProof/>
              </w:rPr>
              <w:t>15.</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Management of Contracts</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_Toc511124979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9</w:t>
            </w:r>
            <w:r w:rsidR="00802F5B" w:rsidRPr="00802F5B">
              <w:rPr>
                <w:rFonts w:ascii="Trebuchet MS" w:hAnsi="Trebuchet MS"/>
                <w:noProof/>
                <w:webHidden/>
              </w:rPr>
              <w:fldChar w:fldCharType="end"/>
            </w:r>
          </w:hyperlink>
        </w:p>
        <w:p w:rsidR="00802F5B" w:rsidRPr="00802F5B" w:rsidRDefault="00B84196">
          <w:pPr>
            <w:pStyle w:val="TOC1"/>
            <w:tabs>
              <w:tab w:val="left" w:pos="660"/>
              <w:tab w:val="right" w:leader="dot" w:pos="9016"/>
            </w:tabs>
            <w:rPr>
              <w:rFonts w:ascii="Trebuchet MS" w:eastAsiaTheme="minorEastAsia" w:hAnsi="Trebuchet MS"/>
              <w:noProof/>
              <w:lang w:eastAsia="en-GB"/>
            </w:rPr>
          </w:pPr>
          <w:hyperlink w:anchor="_Toc511124980" w:history="1">
            <w:r w:rsidR="00802F5B" w:rsidRPr="00802F5B">
              <w:rPr>
                <w:rStyle w:val="Hyperlink"/>
                <w:rFonts w:ascii="Trebuchet MS" w:hAnsi="Trebuchet MS" w:cs="Arial"/>
                <w:noProof/>
              </w:rPr>
              <w:t>16.</w:t>
            </w:r>
            <w:r w:rsidR="00802F5B" w:rsidRPr="00802F5B">
              <w:rPr>
                <w:rFonts w:ascii="Trebuchet MS" w:eastAsiaTheme="minorEastAsia" w:hAnsi="Trebuchet MS"/>
                <w:noProof/>
                <w:lang w:eastAsia="en-GB"/>
              </w:rPr>
              <w:tab/>
            </w:r>
            <w:r w:rsidR="00802F5B" w:rsidRPr="00802F5B">
              <w:rPr>
                <w:rStyle w:val="Hyperlink"/>
                <w:rFonts w:ascii="Trebuchet MS" w:hAnsi="Trebuchet MS" w:cs="Arial"/>
                <w:noProof/>
              </w:rPr>
              <w:t>Contract Variations or Extensions</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_Toc511124980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10</w:t>
            </w:r>
            <w:r w:rsidR="00802F5B" w:rsidRPr="00802F5B">
              <w:rPr>
                <w:rFonts w:ascii="Trebuchet MS" w:hAnsi="Trebuchet MS"/>
                <w:noProof/>
                <w:webHidden/>
              </w:rPr>
              <w:fldChar w:fldCharType="end"/>
            </w:r>
          </w:hyperlink>
        </w:p>
        <w:p w:rsidR="00802F5B" w:rsidRPr="00802F5B" w:rsidRDefault="00B84196">
          <w:pPr>
            <w:pStyle w:val="TOC2"/>
            <w:tabs>
              <w:tab w:val="right" w:leader="dot" w:pos="9016"/>
            </w:tabs>
            <w:rPr>
              <w:rFonts w:ascii="Trebuchet MS" w:eastAsiaTheme="minorEastAsia" w:hAnsi="Trebuchet MS"/>
              <w:noProof/>
              <w:lang w:eastAsia="en-GB"/>
            </w:rPr>
          </w:pPr>
          <w:hyperlink w:anchor="_Toc511124981" w:history="1">
            <w:r w:rsidR="00802F5B" w:rsidRPr="00802F5B">
              <w:rPr>
                <w:rStyle w:val="Hyperlink"/>
                <w:rFonts w:ascii="Trebuchet MS" w:hAnsi="Trebuchet MS"/>
                <w:noProof/>
              </w:rPr>
              <w:t>Appendix 1 – Stages of a tender process</w:t>
            </w:r>
            <w:r w:rsidR="00802F5B" w:rsidRPr="00802F5B">
              <w:rPr>
                <w:rFonts w:ascii="Trebuchet MS" w:hAnsi="Trebuchet MS"/>
                <w:noProof/>
                <w:webHidden/>
              </w:rPr>
              <w:tab/>
            </w:r>
            <w:r w:rsidR="00802F5B" w:rsidRPr="00802F5B">
              <w:rPr>
                <w:rFonts w:ascii="Trebuchet MS" w:hAnsi="Trebuchet MS"/>
                <w:noProof/>
                <w:webHidden/>
              </w:rPr>
              <w:fldChar w:fldCharType="begin"/>
            </w:r>
            <w:r w:rsidR="00802F5B" w:rsidRPr="00802F5B">
              <w:rPr>
                <w:rFonts w:ascii="Trebuchet MS" w:hAnsi="Trebuchet MS"/>
                <w:noProof/>
                <w:webHidden/>
              </w:rPr>
              <w:instrText xml:space="preserve"> PAGEREF _Toc511124981 \h </w:instrText>
            </w:r>
            <w:r w:rsidR="00802F5B" w:rsidRPr="00802F5B">
              <w:rPr>
                <w:rFonts w:ascii="Trebuchet MS" w:hAnsi="Trebuchet MS"/>
                <w:noProof/>
                <w:webHidden/>
              </w:rPr>
            </w:r>
            <w:r w:rsidR="00802F5B" w:rsidRPr="00802F5B">
              <w:rPr>
                <w:rFonts w:ascii="Trebuchet MS" w:hAnsi="Trebuchet MS"/>
                <w:noProof/>
                <w:webHidden/>
              </w:rPr>
              <w:fldChar w:fldCharType="separate"/>
            </w:r>
            <w:r w:rsidR="00802F5B" w:rsidRPr="00802F5B">
              <w:rPr>
                <w:rFonts w:ascii="Trebuchet MS" w:hAnsi="Trebuchet MS"/>
                <w:noProof/>
                <w:webHidden/>
              </w:rPr>
              <w:t>11</w:t>
            </w:r>
            <w:r w:rsidR="00802F5B" w:rsidRPr="00802F5B">
              <w:rPr>
                <w:rFonts w:ascii="Trebuchet MS" w:hAnsi="Trebuchet MS"/>
                <w:noProof/>
                <w:webHidden/>
              </w:rPr>
              <w:fldChar w:fldCharType="end"/>
            </w:r>
          </w:hyperlink>
        </w:p>
        <w:p w:rsidR="009E4B26" w:rsidRDefault="009E4B26" w:rsidP="00D07270">
          <w:pPr>
            <w:pStyle w:val="TOC1"/>
            <w:tabs>
              <w:tab w:val="left" w:pos="440"/>
              <w:tab w:val="right" w:leader="dot" w:pos="9016"/>
            </w:tabs>
          </w:pPr>
          <w:r w:rsidRPr="00802F5B">
            <w:rPr>
              <w:rFonts w:ascii="Trebuchet MS" w:hAnsi="Trebuchet MS"/>
              <w:b/>
              <w:bCs/>
              <w:noProof/>
            </w:rPr>
            <w:fldChar w:fldCharType="end"/>
          </w:r>
        </w:p>
      </w:sdtContent>
    </w:sdt>
    <w:p w:rsidR="009E4B26" w:rsidRDefault="009E4B26" w:rsidP="009E4B26">
      <w:pPr>
        <w:pStyle w:val="Heading1"/>
        <w:numPr>
          <w:ilvl w:val="0"/>
          <w:numId w:val="0"/>
        </w:numPr>
        <w:spacing w:before="0"/>
        <w:ind w:left="574" w:hanging="432"/>
        <w:rPr>
          <w:rFonts w:cs="Arial"/>
          <w:sz w:val="22"/>
          <w:szCs w:val="22"/>
        </w:rPr>
      </w:pPr>
    </w:p>
    <w:p w:rsidR="009E4B26" w:rsidRDefault="009E4B26">
      <w:pPr>
        <w:rPr>
          <w:rFonts w:ascii="Trebuchet MS" w:eastAsia="@헤드라인A" w:hAnsi="Trebuchet MS" w:cs="Arial"/>
          <w:b/>
          <w:bCs/>
          <w:color w:val="345A8A"/>
        </w:rPr>
      </w:pPr>
      <w:r>
        <w:rPr>
          <w:rFonts w:ascii="Trebuchet MS" w:hAnsi="Trebuchet MS" w:cs="Arial"/>
        </w:rPr>
        <w:br w:type="page"/>
      </w:r>
    </w:p>
    <w:p w:rsidR="00E244EE" w:rsidRPr="00802F5B" w:rsidRDefault="00E244EE" w:rsidP="000932BB">
      <w:pPr>
        <w:pStyle w:val="Heading1"/>
        <w:numPr>
          <w:ilvl w:val="0"/>
          <w:numId w:val="2"/>
        </w:numPr>
        <w:spacing w:before="0"/>
        <w:ind w:left="567" w:hanging="567"/>
        <w:rPr>
          <w:rFonts w:cs="Arial"/>
          <w:szCs w:val="28"/>
        </w:rPr>
      </w:pPr>
      <w:bookmarkStart w:id="1" w:name="_Toc511124965"/>
      <w:r w:rsidRPr="00802F5B">
        <w:rPr>
          <w:rFonts w:cs="Arial"/>
          <w:szCs w:val="28"/>
        </w:rPr>
        <w:lastRenderedPageBreak/>
        <w:t>Introduction</w:t>
      </w:r>
      <w:bookmarkEnd w:id="1"/>
    </w:p>
    <w:p w:rsidR="00453D6D" w:rsidRPr="00B1353C" w:rsidRDefault="00453D6D" w:rsidP="003661C3">
      <w:pPr>
        <w:pStyle w:val="Default"/>
        <w:jc w:val="both"/>
        <w:rPr>
          <w:rFonts w:ascii="Trebuchet MS" w:hAnsi="Trebuchet MS"/>
          <w:sz w:val="22"/>
          <w:szCs w:val="22"/>
        </w:rPr>
      </w:pPr>
    </w:p>
    <w:p w:rsidR="008F031E" w:rsidRPr="00B1353C" w:rsidRDefault="00A00299" w:rsidP="00B1353C">
      <w:pPr>
        <w:jc w:val="both"/>
        <w:rPr>
          <w:rFonts w:ascii="Trebuchet MS" w:eastAsia="Arial" w:hAnsi="Trebuchet MS" w:cs="Arial"/>
        </w:rPr>
      </w:pPr>
      <w:r w:rsidRPr="00B1353C">
        <w:rPr>
          <w:rFonts w:ascii="Trebuchet MS" w:eastAsia="Arial" w:hAnsi="Trebuchet MS" w:cs="Arial"/>
          <w:spacing w:val="-4"/>
        </w:rPr>
        <w:t xml:space="preserve">This </w:t>
      </w:r>
      <w:r w:rsidR="00E244EE" w:rsidRPr="00B1353C">
        <w:rPr>
          <w:rFonts w:ascii="Trebuchet MS" w:eastAsia="Arial" w:hAnsi="Trebuchet MS" w:cs="Arial"/>
          <w:spacing w:val="-4"/>
        </w:rPr>
        <w:t>policy</w:t>
      </w:r>
      <w:r w:rsidR="00BB4366" w:rsidRPr="00B1353C">
        <w:rPr>
          <w:rFonts w:ascii="Trebuchet MS" w:eastAsia="Arial" w:hAnsi="Trebuchet MS" w:cs="Arial"/>
          <w:spacing w:val="-4"/>
        </w:rPr>
        <w:t xml:space="preserve"> cover all individuals working in Community Academies Trust </w:t>
      </w:r>
      <w:r w:rsidR="00802F5B">
        <w:rPr>
          <w:rFonts w:ascii="Trebuchet MS" w:eastAsia="Arial" w:hAnsi="Trebuchet MS" w:cs="Arial"/>
          <w:spacing w:val="-4"/>
        </w:rPr>
        <w:t xml:space="preserve">(CAT) </w:t>
      </w:r>
      <w:r w:rsidR="00BB4366" w:rsidRPr="00B1353C">
        <w:rPr>
          <w:rFonts w:ascii="Trebuchet MS" w:eastAsia="Arial" w:hAnsi="Trebuchet MS" w:cs="Arial"/>
          <w:spacing w:val="-4"/>
        </w:rPr>
        <w:t xml:space="preserve">and its member schools, including those who are employed, contractors, volunteers, directors and local governors. </w:t>
      </w:r>
      <w:r w:rsidR="00B1353C">
        <w:rPr>
          <w:rFonts w:ascii="Trebuchet MS" w:eastAsia="Arial" w:hAnsi="Trebuchet MS" w:cs="Arial"/>
          <w:spacing w:val="-4"/>
        </w:rPr>
        <w:t xml:space="preserve"> </w:t>
      </w:r>
      <w:r w:rsidR="00BB4366" w:rsidRPr="00B1353C">
        <w:rPr>
          <w:rFonts w:ascii="Trebuchet MS" w:eastAsia="Arial" w:hAnsi="Trebuchet MS" w:cs="Arial"/>
          <w:spacing w:val="-4"/>
        </w:rPr>
        <w:t>It</w:t>
      </w:r>
      <w:r w:rsidR="00E244EE" w:rsidRPr="00B1353C">
        <w:rPr>
          <w:rFonts w:ascii="Trebuchet MS" w:eastAsia="Arial" w:hAnsi="Trebuchet MS" w:cs="Arial"/>
          <w:spacing w:val="-4"/>
        </w:rPr>
        <w:t xml:space="preserve"> </w:t>
      </w:r>
      <w:r w:rsidR="003C710F">
        <w:rPr>
          <w:rFonts w:ascii="Trebuchet MS" w:eastAsia="Arial" w:hAnsi="Trebuchet MS" w:cs="Arial"/>
          <w:spacing w:val="-4"/>
        </w:rPr>
        <w:t>s</w:t>
      </w:r>
      <w:r w:rsidR="00D07270">
        <w:rPr>
          <w:rFonts w:ascii="Trebuchet MS" w:eastAsia="Arial" w:hAnsi="Trebuchet MS" w:cs="Arial"/>
          <w:spacing w:val="-4"/>
        </w:rPr>
        <w:t>ets out the rules by which the t</w:t>
      </w:r>
      <w:r w:rsidR="003C710F">
        <w:rPr>
          <w:rFonts w:ascii="Trebuchet MS" w:eastAsia="Arial" w:hAnsi="Trebuchet MS" w:cs="Arial"/>
          <w:spacing w:val="-4"/>
        </w:rPr>
        <w:t>rust spends money on goods, contracts and services.</w:t>
      </w:r>
    </w:p>
    <w:p w:rsidR="008F031E" w:rsidRPr="00B1353C" w:rsidRDefault="00A00299" w:rsidP="00B1353C">
      <w:pPr>
        <w:jc w:val="both"/>
        <w:rPr>
          <w:rFonts w:ascii="Trebuchet MS" w:eastAsia="Arial" w:hAnsi="Trebuchet MS" w:cs="Arial"/>
        </w:rPr>
      </w:pPr>
      <w:r w:rsidRPr="00B1353C">
        <w:rPr>
          <w:rFonts w:ascii="Trebuchet MS" w:eastAsia="Arial" w:hAnsi="Trebuchet MS" w:cs="Arial"/>
          <w:spacing w:val="-4"/>
        </w:rPr>
        <w:t>C</w:t>
      </w:r>
      <w:r w:rsidR="00B1353C">
        <w:rPr>
          <w:rFonts w:ascii="Trebuchet MS" w:eastAsia="Arial" w:hAnsi="Trebuchet MS" w:cs="Arial"/>
          <w:spacing w:val="-4"/>
        </w:rPr>
        <w:t>ommunity Academies Trust</w:t>
      </w:r>
      <w:r w:rsidR="003661C3" w:rsidRPr="00B1353C">
        <w:rPr>
          <w:rFonts w:ascii="Trebuchet MS" w:eastAsia="Arial" w:hAnsi="Trebuchet MS" w:cs="Arial"/>
          <w:spacing w:val="-4"/>
        </w:rPr>
        <w:t xml:space="preserve"> is committed to ensur</w:t>
      </w:r>
      <w:r w:rsidR="00D07270">
        <w:rPr>
          <w:rFonts w:ascii="Trebuchet MS" w:eastAsia="Arial" w:hAnsi="Trebuchet MS" w:cs="Arial"/>
          <w:spacing w:val="-4"/>
        </w:rPr>
        <w:t>ing that the governance of the t</w:t>
      </w:r>
      <w:r w:rsidR="003661C3" w:rsidRPr="00B1353C">
        <w:rPr>
          <w:rFonts w:ascii="Trebuchet MS" w:eastAsia="Arial" w:hAnsi="Trebuchet MS" w:cs="Arial"/>
          <w:spacing w:val="-4"/>
        </w:rPr>
        <w:t>rust is conducted in accordance with the highest standards</w:t>
      </w:r>
      <w:r w:rsidR="008F031E" w:rsidRPr="00B1353C">
        <w:rPr>
          <w:rFonts w:ascii="Trebuchet MS" w:eastAsia="Arial" w:hAnsi="Trebuchet MS" w:cs="Arial"/>
          <w:spacing w:val="-4"/>
        </w:rPr>
        <w:t xml:space="preserve"> of integrity, probity and openn</w:t>
      </w:r>
      <w:r w:rsidR="003661C3" w:rsidRPr="00B1353C">
        <w:rPr>
          <w:rFonts w:ascii="Trebuchet MS" w:eastAsia="Arial" w:hAnsi="Trebuchet MS" w:cs="Arial"/>
          <w:spacing w:val="-4"/>
        </w:rPr>
        <w:t xml:space="preserve">ess. </w:t>
      </w:r>
    </w:p>
    <w:p w:rsidR="00453D6D" w:rsidRPr="00B1353C" w:rsidRDefault="00453D6D" w:rsidP="00B1353C">
      <w:pPr>
        <w:jc w:val="both"/>
        <w:rPr>
          <w:rFonts w:ascii="Trebuchet MS" w:eastAsia="Arial" w:hAnsi="Trebuchet MS" w:cs="Arial"/>
          <w:spacing w:val="-4"/>
        </w:rPr>
      </w:pPr>
      <w:r w:rsidRPr="00B1353C">
        <w:rPr>
          <w:rFonts w:ascii="Trebuchet MS" w:eastAsia="Arial" w:hAnsi="Trebuchet MS" w:cs="Arial"/>
          <w:spacing w:val="-4"/>
        </w:rPr>
        <w:t>The intention of th</w:t>
      </w:r>
      <w:r w:rsidR="00D07270">
        <w:rPr>
          <w:rFonts w:ascii="Trebuchet MS" w:eastAsia="Arial" w:hAnsi="Trebuchet MS" w:cs="Arial"/>
          <w:spacing w:val="-4"/>
        </w:rPr>
        <w:t>e policy is to ensure that the t</w:t>
      </w:r>
      <w:r w:rsidRPr="00B1353C">
        <w:rPr>
          <w:rFonts w:ascii="Trebuchet MS" w:eastAsia="Arial" w:hAnsi="Trebuchet MS" w:cs="Arial"/>
          <w:spacing w:val="-4"/>
        </w:rPr>
        <w:t xml:space="preserve">rust can demonstrate </w:t>
      </w:r>
      <w:r w:rsidR="003C710F">
        <w:rPr>
          <w:rFonts w:ascii="Trebuchet MS" w:eastAsia="Arial" w:hAnsi="Trebuchet MS" w:cs="Arial"/>
          <w:spacing w:val="-4"/>
        </w:rPr>
        <w:t>all</w:t>
      </w:r>
      <w:r w:rsidR="00D07270">
        <w:rPr>
          <w:rFonts w:ascii="Trebuchet MS" w:eastAsia="Arial" w:hAnsi="Trebuchet MS" w:cs="Arial"/>
          <w:spacing w:val="-4"/>
        </w:rPr>
        <w:t xml:space="preserve"> contracts entered into by the t</w:t>
      </w:r>
      <w:r w:rsidR="003C710F">
        <w:rPr>
          <w:rFonts w:ascii="Trebuchet MS" w:eastAsia="Arial" w:hAnsi="Trebuchet MS" w:cs="Arial"/>
          <w:spacing w:val="-4"/>
        </w:rPr>
        <w:t>rust have been done so in a way that is fair to potential suppliers, avoids the opportunity for private gain, is in line with the regulations and repr</w:t>
      </w:r>
      <w:r w:rsidR="00D07270">
        <w:rPr>
          <w:rFonts w:ascii="Trebuchet MS" w:eastAsia="Arial" w:hAnsi="Trebuchet MS" w:cs="Arial"/>
          <w:spacing w:val="-4"/>
        </w:rPr>
        <w:t>esents value for money for the t</w:t>
      </w:r>
      <w:r w:rsidR="003C710F">
        <w:rPr>
          <w:rFonts w:ascii="Trebuchet MS" w:eastAsia="Arial" w:hAnsi="Trebuchet MS" w:cs="Arial"/>
          <w:spacing w:val="-4"/>
        </w:rPr>
        <w:t xml:space="preserve">rust. </w:t>
      </w:r>
    </w:p>
    <w:p w:rsidR="00453D6D" w:rsidRPr="00B1353C" w:rsidRDefault="00D07270" w:rsidP="00B1353C">
      <w:pPr>
        <w:jc w:val="both"/>
        <w:rPr>
          <w:rFonts w:ascii="Trebuchet MS" w:eastAsia="Arial" w:hAnsi="Trebuchet MS" w:cs="Arial"/>
          <w:spacing w:val="-4"/>
        </w:rPr>
      </w:pPr>
      <w:r>
        <w:rPr>
          <w:rFonts w:ascii="Trebuchet MS" w:eastAsia="Arial" w:hAnsi="Trebuchet MS" w:cs="Arial"/>
          <w:spacing w:val="-4"/>
        </w:rPr>
        <w:t>The t</w:t>
      </w:r>
      <w:r w:rsidR="003C710F">
        <w:rPr>
          <w:rFonts w:ascii="Trebuchet MS" w:eastAsia="Arial" w:hAnsi="Trebuchet MS" w:cs="Arial"/>
          <w:spacing w:val="-4"/>
        </w:rPr>
        <w:t>rust is obliged to comply with the Academies Financial Handbook, Funding Agreement and the Public Contracts Regulations 2015</w:t>
      </w:r>
      <w:r w:rsidR="002F73CF" w:rsidRPr="00B1353C">
        <w:rPr>
          <w:rFonts w:ascii="Trebuchet MS" w:eastAsia="Arial" w:hAnsi="Trebuchet MS" w:cs="Arial"/>
          <w:spacing w:val="-4"/>
        </w:rPr>
        <w:t>.</w:t>
      </w:r>
    </w:p>
    <w:p w:rsidR="003661C3" w:rsidRPr="00802F5B" w:rsidRDefault="00D23F68" w:rsidP="000932BB">
      <w:pPr>
        <w:pStyle w:val="Heading1"/>
        <w:numPr>
          <w:ilvl w:val="0"/>
          <w:numId w:val="2"/>
        </w:numPr>
        <w:spacing w:before="0"/>
        <w:ind w:left="567" w:hanging="567"/>
        <w:rPr>
          <w:rFonts w:cs="Arial"/>
          <w:szCs w:val="22"/>
        </w:rPr>
      </w:pPr>
      <w:bookmarkStart w:id="2" w:name="_Toc511124966"/>
      <w:r w:rsidRPr="00802F5B">
        <w:rPr>
          <w:rFonts w:cs="Arial"/>
          <w:szCs w:val="22"/>
        </w:rPr>
        <w:t>Principles</w:t>
      </w:r>
      <w:bookmarkEnd w:id="2"/>
    </w:p>
    <w:p w:rsidR="00B33B68" w:rsidRDefault="00B33B68" w:rsidP="002F73CF">
      <w:pPr>
        <w:rPr>
          <w:rFonts w:ascii="Trebuchet MS" w:hAnsi="Trebuchet MS"/>
        </w:rPr>
      </w:pPr>
    </w:p>
    <w:p w:rsidR="003D1E82" w:rsidRDefault="003D1E82" w:rsidP="00802F5B">
      <w:pPr>
        <w:jc w:val="both"/>
        <w:rPr>
          <w:rFonts w:ascii="Trebuchet MS" w:hAnsi="Trebuchet MS"/>
        </w:rPr>
      </w:pPr>
      <w:r>
        <w:rPr>
          <w:rFonts w:ascii="Trebuchet MS" w:hAnsi="Trebuchet MS"/>
        </w:rPr>
        <w:t>More attention to the procurement process will be needed for higher value or contentious contracts.</w:t>
      </w:r>
      <w:r w:rsidR="00C64434">
        <w:rPr>
          <w:rFonts w:ascii="Trebuchet MS" w:hAnsi="Trebuchet MS"/>
        </w:rPr>
        <w:t xml:space="preserve"> Contentious contracts are those that might give rise to criticism of the trust, perhaps because they are with connected parties.</w:t>
      </w:r>
    </w:p>
    <w:p w:rsidR="003D1E82" w:rsidRDefault="003D1E82" w:rsidP="00802F5B">
      <w:pPr>
        <w:jc w:val="both"/>
        <w:rPr>
          <w:rFonts w:ascii="Trebuchet MS" w:hAnsi="Trebuchet MS"/>
        </w:rPr>
      </w:pPr>
      <w:r>
        <w:rPr>
          <w:rFonts w:ascii="Trebuchet MS" w:hAnsi="Trebuchet MS"/>
        </w:rPr>
        <w:t>Achieving the best value for money does not always mean choosing the cheapest price. Other factors such as quality,</w:t>
      </w:r>
      <w:r w:rsidR="00C64434">
        <w:rPr>
          <w:rFonts w:ascii="Trebuchet MS" w:hAnsi="Trebuchet MS"/>
        </w:rPr>
        <w:t xml:space="preserve"> longevity,</w:t>
      </w:r>
      <w:r>
        <w:rPr>
          <w:rFonts w:ascii="Trebuchet MS" w:hAnsi="Trebuchet MS"/>
        </w:rPr>
        <w:t xml:space="preserve"> timing and whether the contract is fit for purpose should be considered.</w:t>
      </w:r>
    </w:p>
    <w:p w:rsidR="003D1E82" w:rsidRDefault="00D07270" w:rsidP="00802F5B">
      <w:pPr>
        <w:jc w:val="both"/>
        <w:rPr>
          <w:rFonts w:ascii="Trebuchet MS" w:hAnsi="Trebuchet MS"/>
        </w:rPr>
      </w:pPr>
      <w:r>
        <w:rPr>
          <w:rFonts w:ascii="Trebuchet MS" w:hAnsi="Trebuchet MS"/>
        </w:rPr>
        <w:t>The t</w:t>
      </w:r>
      <w:r w:rsidR="003D1E82">
        <w:rPr>
          <w:rFonts w:ascii="Trebuchet MS" w:hAnsi="Trebuchet MS"/>
        </w:rPr>
        <w:t>rust considers the full cost of purchase, including administration time and effort.</w:t>
      </w:r>
    </w:p>
    <w:p w:rsidR="003D1E82" w:rsidRDefault="003D1E82" w:rsidP="00802F5B">
      <w:pPr>
        <w:jc w:val="both"/>
        <w:rPr>
          <w:rFonts w:ascii="Trebuchet MS" w:hAnsi="Trebuchet MS"/>
        </w:rPr>
      </w:pPr>
      <w:r>
        <w:rPr>
          <w:rFonts w:ascii="Trebuchet MS" w:hAnsi="Trebuchet MS"/>
        </w:rPr>
        <w:t>It is allowable to purchase from connected parties, but the individual in the trust with the connection should not form part of the decision making process.</w:t>
      </w:r>
    </w:p>
    <w:p w:rsidR="003D1E82" w:rsidRDefault="003D1E82" w:rsidP="00802F5B">
      <w:pPr>
        <w:jc w:val="both"/>
        <w:rPr>
          <w:rFonts w:ascii="Trebuchet MS" w:hAnsi="Trebuchet MS"/>
        </w:rPr>
      </w:pPr>
      <w:r>
        <w:rPr>
          <w:rFonts w:ascii="Trebuchet MS" w:hAnsi="Trebuchet MS"/>
        </w:rPr>
        <w:t>The use of framework contracts is recommended.</w:t>
      </w:r>
    </w:p>
    <w:p w:rsidR="003D1E82" w:rsidRDefault="003D1E82" w:rsidP="00802F5B">
      <w:pPr>
        <w:jc w:val="both"/>
        <w:rPr>
          <w:rFonts w:ascii="Trebuchet MS" w:hAnsi="Trebuchet MS"/>
        </w:rPr>
      </w:pPr>
      <w:r>
        <w:rPr>
          <w:rFonts w:ascii="Trebuchet MS" w:hAnsi="Trebuchet MS"/>
        </w:rPr>
        <w:t>The trust is always aware that the money being spent is public money and consideration is always given as to whether the purchase is a good use of public money and is seen to be a good use of public money.</w:t>
      </w:r>
    </w:p>
    <w:p w:rsidR="003D1E82" w:rsidRDefault="00E25B76" w:rsidP="00802F5B">
      <w:pPr>
        <w:jc w:val="both"/>
        <w:rPr>
          <w:rFonts w:ascii="Trebuchet MS" w:hAnsi="Trebuchet MS"/>
        </w:rPr>
      </w:pPr>
      <w:r>
        <w:rPr>
          <w:rFonts w:ascii="Trebuchet MS" w:hAnsi="Trebuchet MS"/>
        </w:rPr>
        <w:t>B</w:t>
      </w:r>
      <w:r w:rsidR="003D1E82">
        <w:rPr>
          <w:rFonts w:ascii="Trebuchet MS" w:hAnsi="Trebuchet MS"/>
        </w:rPr>
        <w:t>usiness</w:t>
      </w:r>
      <w:r>
        <w:rPr>
          <w:rFonts w:ascii="Trebuchet MS" w:hAnsi="Trebuchet MS"/>
        </w:rPr>
        <w:t>es</w:t>
      </w:r>
      <w:r w:rsidR="003D1E82">
        <w:rPr>
          <w:rFonts w:ascii="Trebuchet MS" w:hAnsi="Trebuchet MS"/>
        </w:rPr>
        <w:t xml:space="preserve"> may be fragile and so we make sure </w:t>
      </w:r>
      <w:r w:rsidR="00487AA5">
        <w:rPr>
          <w:rFonts w:ascii="Trebuchet MS" w:hAnsi="Trebuchet MS"/>
        </w:rPr>
        <w:t xml:space="preserve">we understand </w:t>
      </w:r>
      <w:r>
        <w:rPr>
          <w:rFonts w:ascii="Trebuchet MS" w:hAnsi="Trebuchet MS"/>
        </w:rPr>
        <w:t xml:space="preserve">our obligations under </w:t>
      </w:r>
      <w:r w:rsidR="00487AA5">
        <w:rPr>
          <w:rFonts w:ascii="Trebuchet MS" w:hAnsi="Trebuchet MS"/>
        </w:rPr>
        <w:t>the</w:t>
      </w:r>
      <w:r w:rsidR="003D1E82">
        <w:rPr>
          <w:rFonts w:ascii="Trebuchet MS" w:hAnsi="Trebuchet MS"/>
        </w:rPr>
        <w:t xml:space="preserve"> contracts that we are entering into</w:t>
      </w:r>
      <w:r w:rsidR="00487AA5">
        <w:rPr>
          <w:rFonts w:ascii="Trebuchet MS" w:hAnsi="Trebuchet MS"/>
        </w:rPr>
        <w:t xml:space="preserve"> and avoid significant payment in advance wherever possible.</w:t>
      </w:r>
    </w:p>
    <w:p w:rsidR="00E25B76" w:rsidRDefault="00E25B76" w:rsidP="00802F5B">
      <w:pPr>
        <w:jc w:val="both"/>
        <w:rPr>
          <w:rFonts w:ascii="Trebuchet MS" w:hAnsi="Trebuchet MS"/>
        </w:rPr>
      </w:pPr>
      <w:r>
        <w:rPr>
          <w:rFonts w:ascii="Trebuchet MS" w:hAnsi="Trebuchet MS"/>
        </w:rPr>
        <w:t>Care is taken to ensure contract terms are not disadvantageous to the trust.</w:t>
      </w:r>
    </w:p>
    <w:p w:rsidR="00E25B76" w:rsidRDefault="00E25B76" w:rsidP="00802F5B">
      <w:pPr>
        <w:jc w:val="both"/>
        <w:rPr>
          <w:rFonts w:ascii="Trebuchet MS" w:hAnsi="Trebuchet MS"/>
        </w:rPr>
      </w:pPr>
      <w:r>
        <w:rPr>
          <w:rFonts w:ascii="Trebuchet MS" w:hAnsi="Trebuchet MS"/>
        </w:rPr>
        <w:t>The end of the contract is considered fully before entering into it.</w:t>
      </w:r>
    </w:p>
    <w:p w:rsidR="00B33B68" w:rsidRDefault="00B33B68" w:rsidP="00802F5B">
      <w:pPr>
        <w:jc w:val="both"/>
        <w:rPr>
          <w:rFonts w:ascii="Trebuchet MS" w:hAnsi="Trebuchet MS"/>
        </w:rPr>
      </w:pPr>
      <w:r>
        <w:rPr>
          <w:rFonts w:ascii="Trebuchet MS" w:hAnsi="Trebuchet MS"/>
        </w:rPr>
        <w:t>Rolling over a single year contract repeatedly is unlikely to provide best value. These contracts should first be recorded and then re-procured for value.</w:t>
      </w:r>
    </w:p>
    <w:p w:rsidR="002125B3" w:rsidRDefault="002125B3" w:rsidP="00802F5B">
      <w:pPr>
        <w:jc w:val="both"/>
        <w:rPr>
          <w:rFonts w:ascii="Trebuchet MS" w:hAnsi="Trebuchet MS"/>
        </w:rPr>
      </w:pPr>
      <w:r>
        <w:rPr>
          <w:rFonts w:ascii="Trebuchet MS" w:hAnsi="Trebuchet MS"/>
        </w:rPr>
        <w:lastRenderedPageBreak/>
        <w:t>In a tender process all suppliers are treated fairly, given the same information and time limits and no favouritism is shown.</w:t>
      </w:r>
    </w:p>
    <w:p w:rsidR="00D23F68" w:rsidRPr="00802F5B" w:rsidRDefault="009C4DB2" w:rsidP="000932BB">
      <w:pPr>
        <w:pStyle w:val="Heading1"/>
        <w:numPr>
          <w:ilvl w:val="0"/>
          <w:numId w:val="2"/>
        </w:numPr>
        <w:spacing w:before="0"/>
        <w:ind w:left="567" w:hanging="567"/>
        <w:rPr>
          <w:szCs w:val="22"/>
        </w:rPr>
      </w:pPr>
      <w:bookmarkStart w:id="3" w:name="_Toc511124967"/>
      <w:r w:rsidRPr="00802F5B">
        <w:rPr>
          <w:rFonts w:cs="Arial"/>
          <w:szCs w:val="22"/>
        </w:rPr>
        <w:t>Valuing the Contract</w:t>
      </w:r>
      <w:bookmarkEnd w:id="3"/>
    </w:p>
    <w:p w:rsidR="00D23F68" w:rsidRDefault="00D23F68" w:rsidP="003C7C44">
      <w:pPr>
        <w:rPr>
          <w:rFonts w:ascii="Trebuchet MS" w:eastAsia="Arial" w:hAnsi="Trebuchet MS" w:cs="Arial"/>
          <w:spacing w:val="-4"/>
        </w:rPr>
      </w:pPr>
    </w:p>
    <w:p w:rsidR="0039790A" w:rsidRDefault="0039790A" w:rsidP="00802F5B">
      <w:pPr>
        <w:jc w:val="both"/>
        <w:rPr>
          <w:rFonts w:ascii="Trebuchet MS" w:eastAsia="Arial" w:hAnsi="Trebuchet MS" w:cs="Arial"/>
          <w:spacing w:val="-4"/>
        </w:rPr>
      </w:pPr>
      <w:r>
        <w:rPr>
          <w:rFonts w:ascii="Trebuchet MS" w:eastAsia="Arial" w:hAnsi="Trebuchet MS" w:cs="Arial"/>
          <w:spacing w:val="-4"/>
        </w:rPr>
        <w:t>It is important that contracts are properly assessed for value.</w:t>
      </w:r>
      <w:r w:rsidR="009C2BD7">
        <w:rPr>
          <w:rFonts w:ascii="Trebuchet MS" w:eastAsia="Arial" w:hAnsi="Trebuchet MS" w:cs="Arial"/>
          <w:spacing w:val="-4"/>
        </w:rPr>
        <w:t xml:space="preserve"> The total value of the contract is obtained by making reasonable assumptions on:</w:t>
      </w:r>
    </w:p>
    <w:p w:rsidR="00BE0DFB" w:rsidRDefault="00BE0DFB" w:rsidP="00802F5B">
      <w:pPr>
        <w:jc w:val="both"/>
        <w:rPr>
          <w:rFonts w:ascii="Trebuchet MS" w:eastAsia="Arial" w:hAnsi="Trebuchet MS" w:cs="Arial"/>
          <w:spacing w:val="-4"/>
        </w:rPr>
      </w:pPr>
      <w:r w:rsidRPr="00BE0DFB">
        <w:rPr>
          <w:rFonts w:ascii="Trebuchet MS" w:eastAsia="Arial" w:hAnsi="Trebuchet MS" w:cs="Arial"/>
          <w:b/>
          <w:spacing w:val="-4"/>
        </w:rPr>
        <w:t>t</w:t>
      </w:r>
      <w:r w:rsidR="009C2BD7" w:rsidRPr="00BE0DFB">
        <w:rPr>
          <w:rFonts w:ascii="Trebuchet MS" w:eastAsia="Arial" w:hAnsi="Trebuchet MS" w:cs="Arial"/>
          <w:b/>
          <w:spacing w:val="-4"/>
        </w:rPr>
        <w:t>he annual spend</w:t>
      </w:r>
      <w:r>
        <w:rPr>
          <w:rFonts w:ascii="Trebuchet MS" w:eastAsia="Arial" w:hAnsi="Trebuchet MS" w:cs="Arial"/>
          <w:spacing w:val="-4"/>
        </w:rPr>
        <w:t>;</w:t>
      </w:r>
      <w:r w:rsidR="009C2BD7">
        <w:rPr>
          <w:rFonts w:ascii="Trebuchet MS" w:eastAsia="Arial" w:hAnsi="Trebuchet MS" w:cs="Arial"/>
          <w:spacing w:val="-4"/>
        </w:rPr>
        <w:t xml:space="preserve">   </w:t>
      </w:r>
      <w:r>
        <w:rPr>
          <w:rFonts w:ascii="Trebuchet MS" w:eastAsia="Arial" w:hAnsi="Trebuchet MS" w:cs="Arial"/>
          <w:spacing w:val="-4"/>
        </w:rPr>
        <w:t>multiplied by</w:t>
      </w:r>
      <w:r w:rsidR="009C2BD7">
        <w:rPr>
          <w:rFonts w:ascii="Trebuchet MS" w:eastAsia="Arial" w:hAnsi="Trebuchet MS" w:cs="Arial"/>
          <w:spacing w:val="-4"/>
        </w:rPr>
        <w:t xml:space="preserve">  </w:t>
      </w:r>
    </w:p>
    <w:p w:rsidR="00BE0DFB" w:rsidRDefault="00BE0DFB" w:rsidP="00802F5B">
      <w:pPr>
        <w:jc w:val="both"/>
        <w:rPr>
          <w:rFonts w:ascii="Trebuchet MS" w:eastAsia="Arial" w:hAnsi="Trebuchet MS" w:cs="Arial"/>
          <w:spacing w:val="-4"/>
        </w:rPr>
      </w:pPr>
      <w:r w:rsidRPr="00BE0DFB">
        <w:rPr>
          <w:rFonts w:ascii="Trebuchet MS" w:eastAsia="Arial" w:hAnsi="Trebuchet MS" w:cs="Arial"/>
          <w:b/>
          <w:spacing w:val="-4"/>
        </w:rPr>
        <w:t>t</w:t>
      </w:r>
      <w:r w:rsidR="009C2BD7" w:rsidRPr="00BE0DFB">
        <w:rPr>
          <w:rFonts w:ascii="Trebuchet MS" w:eastAsia="Arial" w:hAnsi="Trebuchet MS" w:cs="Arial"/>
          <w:b/>
          <w:spacing w:val="-4"/>
        </w:rPr>
        <w:t>he number of years of the contract</w:t>
      </w:r>
      <w:r>
        <w:rPr>
          <w:rFonts w:ascii="Trebuchet MS" w:eastAsia="Arial" w:hAnsi="Trebuchet MS" w:cs="Arial"/>
          <w:spacing w:val="-4"/>
        </w:rPr>
        <w:t>;</w:t>
      </w:r>
      <w:r w:rsidR="009C2BD7">
        <w:rPr>
          <w:rFonts w:ascii="Trebuchet MS" w:eastAsia="Arial" w:hAnsi="Trebuchet MS" w:cs="Arial"/>
          <w:spacing w:val="-4"/>
        </w:rPr>
        <w:t xml:space="preserve">  </w:t>
      </w:r>
      <w:r>
        <w:rPr>
          <w:rFonts w:ascii="Trebuchet MS" w:eastAsia="Arial" w:hAnsi="Trebuchet MS" w:cs="Arial"/>
          <w:spacing w:val="-4"/>
        </w:rPr>
        <w:t>multiplied by</w:t>
      </w:r>
      <w:r w:rsidR="009C2BD7">
        <w:rPr>
          <w:rFonts w:ascii="Trebuchet MS" w:eastAsia="Arial" w:hAnsi="Trebuchet MS" w:cs="Arial"/>
          <w:spacing w:val="-4"/>
        </w:rPr>
        <w:t xml:space="preserve">  </w:t>
      </w:r>
    </w:p>
    <w:p w:rsidR="009C2BD7" w:rsidRPr="00BE0DFB" w:rsidRDefault="00D07270" w:rsidP="00802F5B">
      <w:pPr>
        <w:jc w:val="both"/>
        <w:rPr>
          <w:rFonts w:ascii="Trebuchet MS" w:eastAsia="Arial" w:hAnsi="Trebuchet MS" w:cs="Arial"/>
          <w:b/>
          <w:spacing w:val="-4"/>
        </w:rPr>
      </w:pPr>
      <w:r>
        <w:rPr>
          <w:rFonts w:ascii="Trebuchet MS" w:eastAsia="Arial" w:hAnsi="Trebuchet MS" w:cs="Arial"/>
          <w:b/>
          <w:spacing w:val="-4"/>
        </w:rPr>
        <w:t>the number of schools in the t</w:t>
      </w:r>
      <w:r w:rsidR="009C2BD7" w:rsidRPr="00BE0DFB">
        <w:rPr>
          <w:rFonts w:ascii="Trebuchet MS" w:eastAsia="Arial" w:hAnsi="Trebuchet MS" w:cs="Arial"/>
          <w:b/>
          <w:spacing w:val="-4"/>
        </w:rPr>
        <w:t>rust that the contract is being awarded for</w:t>
      </w:r>
    </w:p>
    <w:p w:rsidR="009C2BD7" w:rsidRDefault="009C2BD7" w:rsidP="00802F5B">
      <w:pPr>
        <w:jc w:val="both"/>
        <w:rPr>
          <w:rFonts w:ascii="Trebuchet MS" w:eastAsia="Arial" w:hAnsi="Trebuchet MS" w:cs="Arial"/>
          <w:spacing w:val="-4"/>
        </w:rPr>
      </w:pPr>
      <w:r>
        <w:rPr>
          <w:rFonts w:ascii="Trebuchet MS" w:eastAsia="Arial" w:hAnsi="Trebuchet MS" w:cs="Arial"/>
          <w:spacing w:val="-4"/>
        </w:rPr>
        <w:t xml:space="preserve">It is not permissible to split the value of the contract in order to appear </w:t>
      </w:r>
      <w:r w:rsidR="00D07270">
        <w:rPr>
          <w:rFonts w:ascii="Trebuchet MS" w:eastAsia="Arial" w:hAnsi="Trebuchet MS" w:cs="Arial"/>
          <w:spacing w:val="-4"/>
        </w:rPr>
        <w:t xml:space="preserve">to be </w:t>
      </w:r>
      <w:r>
        <w:rPr>
          <w:rFonts w:ascii="Trebuchet MS" w:eastAsia="Arial" w:hAnsi="Trebuchet MS" w:cs="Arial"/>
          <w:spacing w:val="-4"/>
        </w:rPr>
        <w:t xml:space="preserve">below procurement thresholds. </w:t>
      </w:r>
    </w:p>
    <w:p w:rsidR="009C2BD7" w:rsidRDefault="009C2BD7" w:rsidP="00802F5B">
      <w:pPr>
        <w:jc w:val="both"/>
        <w:rPr>
          <w:rFonts w:ascii="Trebuchet MS" w:eastAsia="Arial" w:hAnsi="Trebuchet MS" w:cs="Arial"/>
          <w:spacing w:val="-4"/>
        </w:rPr>
      </w:pPr>
      <w:r>
        <w:rPr>
          <w:rFonts w:ascii="Trebuchet MS" w:eastAsia="Arial" w:hAnsi="Trebuchet MS" w:cs="Arial"/>
          <w:spacing w:val="-4"/>
        </w:rPr>
        <w:t>If a contract is for a number of years with the option to extend at the end of that time then the number of years of the contract is the maximum time it could run. A typical example would be for a contract that is 3 years with an option to extend for a further 2; the total number of years that needs to be considered in determining value is then 5 years.</w:t>
      </w:r>
    </w:p>
    <w:p w:rsidR="009C2BD7" w:rsidRDefault="009C2BD7" w:rsidP="00802F5B">
      <w:pPr>
        <w:jc w:val="both"/>
        <w:rPr>
          <w:rFonts w:ascii="Trebuchet MS" w:eastAsia="Arial" w:hAnsi="Trebuchet MS" w:cs="Arial"/>
          <w:spacing w:val="-4"/>
        </w:rPr>
      </w:pPr>
      <w:r>
        <w:rPr>
          <w:rFonts w:ascii="Trebuchet MS" w:eastAsia="Arial" w:hAnsi="Trebuchet MS" w:cs="Arial"/>
          <w:spacing w:val="-4"/>
        </w:rPr>
        <w:t>Care must be taken concerning the number of schools en</w:t>
      </w:r>
      <w:r w:rsidR="00D07270">
        <w:rPr>
          <w:rFonts w:ascii="Trebuchet MS" w:eastAsia="Arial" w:hAnsi="Trebuchet MS" w:cs="Arial"/>
          <w:spacing w:val="-4"/>
        </w:rPr>
        <w:t>tering into a contract. If the t</w:t>
      </w:r>
      <w:r>
        <w:rPr>
          <w:rFonts w:ascii="Trebuchet MS" w:eastAsia="Arial" w:hAnsi="Trebuchet MS" w:cs="Arial"/>
          <w:spacing w:val="-4"/>
        </w:rPr>
        <w:t>rust enters into a contr</w:t>
      </w:r>
      <w:r w:rsidR="00D07270">
        <w:rPr>
          <w:rFonts w:ascii="Trebuchet MS" w:eastAsia="Arial" w:hAnsi="Trebuchet MS" w:cs="Arial"/>
          <w:spacing w:val="-4"/>
        </w:rPr>
        <w:t>act for all the schools in the t</w:t>
      </w:r>
      <w:r>
        <w:rPr>
          <w:rFonts w:ascii="Trebuchet MS" w:eastAsia="Arial" w:hAnsi="Trebuchet MS" w:cs="Arial"/>
          <w:spacing w:val="-4"/>
        </w:rPr>
        <w:t xml:space="preserve">rust then the number should be considered to be the </w:t>
      </w:r>
      <w:r w:rsidR="00D07270">
        <w:rPr>
          <w:rFonts w:ascii="Trebuchet MS" w:eastAsia="Arial" w:hAnsi="Trebuchet MS" w:cs="Arial"/>
          <w:spacing w:val="-4"/>
        </w:rPr>
        <w:t>total number of schools in the t</w:t>
      </w:r>
      <w:r>
        <w:rPr>
          <w:rFonts w:ascii="Trebuchet MS" w:eastAsia="Arial" w:hAnsi="Trebuchet MS" w:cs="Arial"/>
          <w:spacing w:val="-4"/>
        </w:rPr>
        <w:t xml:space="preserve">rust together with any schools reasonably expected to join the trust if they would be included in the contract when they join. Even if each school individually signs their own contract, the procurement should be considered to be </w:t>
      </w:r>
      <w:r w:rsidR="00E25B76">
        <w:rPr>
          <w:rFonts w:ascii="Trebuchet MS" w:eastAsia="Arial" w:hAnsi="Trebuchet MS" w:cs="Arial"/>
          <w:spacing w:val="-4"/>
        </w:rPr>
        <w:t xml:space="preserve">for </w:t>
      </w:r>
      <w:r>
        <w:rPr>
          <w:rFonts w:ascii="Trebuchet MS" w:eastAsia="Arial" w:hAnsi="Trebuchet MS" w:cs="Arial"/>
          <w:spacing w:val="-4"/>
        </w:rPr>
        <w:t>all the schools involved in the process.</w:t>
      </w:r>
    </w:p>
    <w:p w:rsidR="00C64434" w:rsidRDefault="00C64434" w:rsidP="00802F5B">
      <w:pPr>
        <w:jc w:val="both"/>
        <w:rPr>
          <w:rFonts w:ascii="Trebuchet MS" w:eastAsia="Arial" w:hAnsi="Trebuchet MS" w:cs="Arial"/>
          <w:spacing w:val="-4"/>
        </w:rPr>
      </w:pPr>
      <w:r>
        <w:rPr>
          <w:rFonts w:ascii="Trebuchet MS" w:eastAsia="Arial" w:hAnsi="Trebuchet MS" w:cs="Arial"/>
          <w:spacing w:val="-4"/>
        </w:rPr>
        <w:t>Similarly, if a group of schools in the trust enter into a contract together (</w:t>
      </w:r>
      <w:proofErr w:type="spellStart"/>
      <w:r>
        <w:rPr>
          <w:rFonts w:ascii="Trebuchet MS" w:eastAsia="Arial" w:hAnsi="Trebuchet MS" w:cs="Arial"/>
          <w:spacing w:val="-4"/>
        </w:rPr>
        <w:t>eg</w:t>
      </w:r>
      <w:proofErr w:type="spellEnd"/>
      <w:r>
        <w:rPr>
          <w:rFonts w:ascii="Trebuchet MS" w:eastAsia="Arial" w:hAnsi="Trebuchet MS" w:cs="Arial"/>
          <w:spacing w:val="-4"/>
        </w:rPr>
        <w:t>: all primary schools) then the number of schools should be the number of primary schools in the trust or reasonably expected to join the trust.</w:t>
      </w:r>
    </w:p>
    <w:p w:rsidR="00BE0DFB" w:rsidRDefault="00D07270" w:rsidP="00802F5B">
      <w:pPr>
        <w:jc w:val="both"/>
        <w:rPr>
          <w:rFonts w:ascii="Trebuchet MS" w:eastAsia="Arial" w:hAnsi="Trebuchet MS" w:cs="Arial"/>
          <w:spacing w:val="-4"/>
        </w:rPr>
      </w:pPr>
      <w:r>
        <w:rPr>
          <w:rFonts w:ascii="Trebuchet MS" w:eastAsia="Arial" w:hAnsi="Trebuchet MS" w:cs="Arial"/>
          <w:spacing w:val="-4"/>
        </w:rPr>
        <w:t>When the t</w:t>
      </w:r>
      <w:r w:rsidR="00BE0DFB">
        <w:rPr>
          <w:rFonts w:ascii="Trebuchet MS" w:eastAsia="Arial" w:hAnsi="Trebuchet MS" w:cs="Arial"/>
          <w:spacing w:val="-4"/>
        </w:rPr>
        <w:t xml:space="preserve">rust enters into a framework contract available to all schools in the trust for purchases, then it should take into account a reasonable estimate of the number of schools in the trust </w:t>
      </w:r>
      <w:r w:rsidR="00E25B76">
        <w:rPr>
          <w:rFonts w:ascii="Trebuchet MS" w:eastAsia="Arial" w:hAnsi="Trebuchet MS" w:cs="Arial"/>
          <w:spacing w:val="-4"/>
        </w:rPr>
        <w:t xml:space="preserve">together with those </w:t>
      </w:r>
      <w:r w:rsidR="00BE0DFB">
        <w:rPr>
          <w:rFonts w:ascii="Trebuchet MS" w:eastAsia="Arial" w:hAnsi="Trebuchet MS" w:cs="Arial"/>
          <w:spacing w:val="-4"/>
        </w:rPr>
        <w:t xml:space="preserve"> likely to join </w:t>
      </w:r>
      <w:r w:rsidR="00E25B76">
        <w:rPr>
          <w:rFonts w:ascii="Trebuchet MS" w:eastAsia="Arial" w:hAnsi="Trebuchet MS" w:cs="Arial"/>
          <w:spacing w:val="-4"/>
        </w:rPr>
        <w:t xml:space="preserve">over the length of the contract in order </w:t>
      </w:r>
      <w:r w:rsidR="00BE0DFB">
        <w:rPr>
          <w:rFonts w:ascii="Trebuchet MS" w:eastAsia="Arial" w:hAnsi="Trebuchet MS" w:cs="Arial"/>
          <w:spacing w:val="-4"/>
        </w:rPr>
        <w:t>to calculate the cost of the contract.</w:t>
      </w:r>
    </w:p>
    <w:p w:rsidR="00E25B76" w:rsidRDefault="00E25B76" w:rsidP="00802F5B">
      <w:pPr>
        <w:jc w:val="both"/>
        <w:rPr>
          <w:rFonts w:ascii="Trebuchet MS" w:eastAsia="Arial" w:hAnsi="Trebuchet MS" w:cs="Arial"/>
          <w:spacing w:val="-4"/>
        </w:rPr>
      </w:pPr>
      <w:r>
        <w:rPr>
          <w:rFonts w:ascii="Trebuchet MS" w:eastAsia="Arial" w:hAnsi="Trebuchet MS" w:cs="Arial"/>
          <w:spacing w:val="-4"/>
        </w:rPr>
        <w:t>Recoverable VAT is excluded from the assessed value of the contract.</w:t>
      </w:r>
    </w:p>
    <w:p w:rsidR="003D3F7E" w:rsidRPr="00802F5B" w:rsidRDefault="009C4DB2" w:rsidP="000932BB">
      <w:pPr>
        <w:pStyle w:val="Heading1"/>
        <w:numPr>
          <w:ilvl w:val="0"/>
          <w:numId w:val="2"/>
        </w:numPr>
        <w:spacing w:before="0"/>
        <w:ind w:left="567" w:hanging="567"/>
        <w:rPr>
          <w:rFonts w:cs="Arial"/>
          <w:szCs w:val="22"/>
        </w:rPr>
      </w:pPr>
      <w:bookmarkStart w:id="4" w:name="_Toc511124968"/>
      <w:r w:rsidRPr="00802F5B">
        <w:rPr>
          <w:rFonts w:cs="Arial"/>
          <w:szCs w:val="22"/>
        </w:rPr>
        <w:t>Connected parties</w:t>
      </w:r>
      <w:bookmarkEnd w:id="4"/>
    </w:p>
    <w:p w:rsidR="00D07270" w:rsidRDefault="00D07270" w:rsidP="00BE0DFB">
      <w:pPr>
        <w:rPr>
          <w:rFonts w:ascii="Trebuchet MS" w:eastAsia="Arial" w:hAnsi="Trebuchet MS" w:cs="Arial"/>
          <w:spacing w:val="-4"/>
        </w:rPr>
      </w:pPr>
    </w:p>
    <w:p w:rsidR="00BE0DFB" w:rsidRPr="00687515" w:rsidRDefault="00687515" w:rsidP="00802F5B">
      <w:pPr>
        <w:jc w:val="both"/>
        <w:rPr>
          <w:rFonts w:ascii="Trebuchet MS" w:eastAsia="Arial" w:hAnsi="Trebuchet MS" w:cs="Arial"/>
          <w:spacing w:val="-4"/>
        </w:rPr>
      </w:pPr>
      <w:r w:rsidRPr="00687515">
        <w:rPr>
          <w:rFonts w:ascii="Trebuchet MS" w:eastAsia="Arial" w:hAnsi="Trebuchet MS" w:cs="Arial"/>
          <w:spacing w:val="-4"/>
        </w:rPr>
        <w:t>The trust has a process in place where all members, trustees, governors and staff must declare their pecuniary interests. This is done annually in the autumn term and</w:t>
      </w:r>
      <w:r w:rsidR="00C64434">
        <w:rPr>
          <w:rFonts w:ascii="Trebuchet MS" w:eastAsia="Arial" w:hAnsi="Trebuchet MS" w:cs="Arial"/>
          <w:spacing w:val="-4"/>
        </w:rPr>
        <w:t xml:space="preserve"> individuals must update them</w:t>
      </w:r>
      <w:r w:rsidRPr="00687515">
        <w:rPr>
          <w:rFonts w:ascii="Trebuchet MS" w:eastAsia="Arial" w:hAnsi="Trebuchet MS" w:cs="Arial"/>
          <w:spacing w:val="-4"/>
        </w:rPr>
        <w:t xml:space="preserve"> through the year should interests change.</w:t>
      </w:r>
    </w:p>
    <w:p w:rsidR="00B33B68" w:rsidRDefault="00B33B68" w:rsidP="00802F5B">
      <w:pPr>
        <w:jc w:val="both"/>
        <w:rPr>
          <w:rFonts w:ascii="Trebuchet MS" w:eastAsia="Arial" w:hAnsi="Trebuchet MS" w:cs="Arial"/>
          <w:spacing w:val="-4"/>
        </w:rPr>
      </w:pPr>
    </w:p>
    <w:p w:rsidR="00687515" w:rsidRDefault="00687515" w:rsidP="00802F5B">
      <w:pPr>
        <w:jc w:val="both"/>
        <w:rPr>
          <w:rFonts w:ascii="Trebuchet MS" w:eastAsia="Arial" w:hAnsi="Trebuchet MS" w:cs="Arial"/>
          <w:spacing w:val="-4"/>
        </w:rPr>
      </w:pPr>
      <w:r w:rsidRPr="00687515">
        <w:rPr>
          <w:rFonts w:ascii="Trebuchet MS" w:eastAsia="Arial" w:hAnsi="Trebuchet MS" w:cs="Arial"/>
          <w:spacing w:val="-4"/>
        </w:rPr>
        <w:t>The pecuniary interests of members, trustees, and governors are published on the trust</w:t>
      </w:r>
      <w:r>
        <w:rPr>
          <w:rFonts w:ascii="Trebuchet MS" w:eastAsia="Arial" w:hAnsi="Trebuchet MS" w:cs="Arial"/>
          <w:spacing w:val="-4"/>
        </w:rPr>
        <w:t xml:space="preserve"> website,</w:t>
      </w:r>
      <w:r w:rsidRPr="00687515">
        <w:rPr>
          <w:rFonts w:ascii="Trebuchet MS" w:eastAsia="Arial" w:hAnsi="Trebuchet MS" w:cs="Arial"/>
          <w:spacing w:val="-4"/>
        </w:rPr>
        <w:t xml:space="preserve"> </w:t>
      </w:r>
      <w:hyperlink r:id="rId10" w:history="1">
        <w:r w:rsidR="00E25B76" w:rsidRPr="000A0245">
          <w:rPr>
            <w:rStyle w:val="Hyperlink"/>
            <w:rFonts w:ascii="Trebuchet MS" w:eastAsia="Arial" w:hAnsi="Trebuchet MS" w:cs="Arial"/>
            <w:spacing w:val="-4"/>
          </w:rPr>
          <w:t>www.communityacademiestrust.org</w:t>
        </w:r>
      </w:hyperlink>
      <w:r w:rsidR="00E25B76">
        <w:rPr>
          <w:rFonts w:ascii="Trebuchet MS" w:eastAsia="Arial" w:hAnsi="Trebuchet MS" w:cs="Arial"/>
          <w:spacing w:val="-4"/>
        </w:rPr>
        <w:t xml:space="preserve"> </w:t>
      </w:r>
      <w:r w:rsidRPr="00687515">
        <w:rPr>
          <w:rFonts w:ascii="Trebuchet MS" w:eastAsia="Arial" w:hAnsi="Trebuchet MS" w:cs="Arial"/>
          <w:spacing w:val="-4"/>
        </w:rPr>
        <w:t xml:space="preserve">and are kept up to date with all notified changes after every Board meeting. </w:t>
      </w:r>
      <w:r>
        <w:rPr>
          <w:rFonts w:ascii="Trebuchet MS" w:eastAsia="Arial" w:hAnsi="Trebuchet MS" w:cs="Arial"/>
          <w:spacing w:val="-4"/>
        </w:rPr>
        <w:t xml:space="preserve">The pecuniary interests of staff are kept locally in each school and in the Central Team. </w:t>
      </w:r>
      <w:r w:rsidRPr="00687515">
        <w:rPr>
          <w:rFonts w:ascii="Trebuchet MS" w:eastAsia="Arial" w:hAnsi="Trebuchet MS" w:cs="Arial"/>
          <w:spacing w:val="-4"/>
        </w:rPr>
        <w:t xml:space="preserve">When carrying out a procurement exercise, </w:t>
      </w:r>
      <w:r>
        <w:rPr>
          <w:rFonts w:ascii="Trebuchet MS" w:eastAsia="Arial" w:hAnsi="Trebuchet MS" w:cs="Arial"/>
          <w:spacing w:val="-4"/>
        </w:rPr>
        <w:t>it is important to check both the trust register of interests and the local register to identify any potential conflicts.</w:t>
      </w:r>
      <w:r w:rsidR="00E25B76">
        <w:rPr>
          <w:rFonts w:ascii="Trebuchet MS" w:eastAsia="Arial" w:hAnsi="Trebuchet MS" w:cs="Arial"/>
          <w:spacing w:val="-4"/>
        </w:rPr>
        <w:t xml:space="preserve"> Any person with a pecuniary interest in a supplier or potential supplier must not take part in the procurement process.</w:t>
      </w:r>
    </w:p>
    <w:p w:rsidR="00687515" w:rsidRPr="00687515" w:rsidRDefault="00687515" w:rsidP="00802F5B">
      <w:pPr>
        <w:jc w:val="both"/>
        <w:rPr>
          <w:rFonts w:ascii="Trebuchet MS" w:eastAsia="Arial" w:hAnsi="Trebuchet MS" w:cs="Arial"/>
          <w:spacing w:val="-4"/>
        </w:rPr>
      </w:pPr>
      <w:r>
        <w:rPr>
          <w:rFonts w:ascii="Trebuchet MS" w:eastAsia="Arial" w:hAnsi="Trebuchet MS" w:cs="Arial"/>
          <w:spacing w:val="-4"/>
        </w:rPr>
        <w:t>Under the Academies Financial Handbook the trust must pay no more than “cost” for good</w:t>
      </w:r>
      <w:r w:rsidR="00E25B76">
        <w:rPr>
          <w:rFonts w:ascii="Trebuchet MS" w:eastAsia="Arial" w:hAnsi="Trebuchet MS" w:cs="Arial"/>
          <w:spacing w:val="-4"/>
        </w:rPr>
        <w:t>s</w:t>
      </w:r>
      <w:r>
        <w:rPr>
          <w:rFonts w:ascii="Trebuchet MS" w:eastAsia="Arial" w:hAnsi="Trebuchet MS" w:cs="Arial"/>
          <w:spacing w:val="-4"/>
        </w:rPr>
        <w:t xml:space="preserve"> and services provided to it by a member, trustee or a connected party of a member or trustee. The rules on this are very specific so if a procurement potentially involves </w:t>
      </w:r>
      <w:r w:rsidR="00ED4A2F">
        <w:rPr>
          <w:rFonts w:ascii="Trebuchet MS" w:eastAsia="Arial" w:hAnsi="Trebuchet MS" w:cs="Arial"/>
          <w:spacing w:val="-4"/>
        </w:rPr>
        <w:t xml:space="preserve">a person or organisation declared by a member or trustee as being a pecuniary interest then advice should be sought </w:t>
      </w:r>
      <w:r w:rsidR="00E25B76">
        <w:rPr>
          <w:rFonts w:ascii="Trebuchet MS" w:eastAsia="Arial" w:hAnsi="Trebuchet MS" w:cs="Arial"/>
          <w:spacing w:val="-4"/>
        </w:rPr>
        <w:t>from</w:t>
      </w:r>
      <w:r w:rsidR="00ED4A2F">
        <w:rPr>
          <w:rFonts w:ascii="Trebuchet MS" w:eastAsia="Arial" w:hAnsi="Trebuchet MS" w:cs="Arial"/>
          <w:spacing w:val="-4"/>
        </w:rPr>
        <w:t xml:space="preserve"> the Executive Director (Finance and Operations) before any procurement decision is made.</w:t>
      </w:r>
    </w:p>
    <w:p w:rsidR="009C4DB2" w:rsidRPr="00802F5B" w:rsidRDefault="0057539F" w:rsidP="000932BB">
      <w:pPr>
        <w:pStyle w:val="Heading1"/>
        <w:numPr>
          <w:ilvl w:val="0"/>
          <w:numId w:val="2"/>
        </w:numPr>
        <w:spacing w:before="0"/>
        <w:ind w:left="567" w:hanging="567"/>
        <w:rPr>
          <w:rFonts w:cs="Arial"/>
          <w:szCs w:val="22"/>
        </w:rPr>
      </w:pPr>
      <w:bookmarkStart w:id="5" w:name="_Toc511124969"/>
      <w:r w:rsidRPr="00802F5B">
        <w:rPr>
          <w:rFonts w:cs="Arial"/>
          <w:szCs w:val="22"/>
        </w:rPr>
        <w:t xml:space="preserve">Using </w:t>
      </w:r>
      <w:r w:rsidR="009C4DB2" w:rsidRPr="00802F5B">
        <w:rPr>
          <w:rFonts w:cs="Arial"/>
          <w:szCs w:val="22"/>
        </w:rPr>
        <w:t>Frameworks</w:t>
      </w:r>
      <w:bookmarkEnd w:id="5"/>
    </w:p>
    <w:p w:rsidR="00802F5B" w:rsidRDefault="00802F5B" w:rsidP="00C0520D">
      <w:pPr>
        <w:pStyle w:val="Heading1"/>
        <w:numPr>
          <w:ilvl w:val="0"/>
          <w:numId w:val="0"/>
        </w:numPr>
        <w:spacing w:before="0" w:after="100" w:afterAutospacing="1"/>
        <w:rPr>
          <w:rFonts w:eastAsiaTheme="minorHAnsi" w:cstheme="minorBidi"/>
          <w:b w:val="0"/>
          <w:bCs w:val="0"/>
          <w:color w:val="auto"/>
          <w:sz w:val="22"/>
          <w:szCs w:val="22"/>
        </w:rPr>
      </w:pPr>
      <w:bookmarkStart w:id="6" w:name="_Toc500765712"/>
      <w:bookmarkStart w:id="7" w:name="_Toc500772291"/>
      <w:bookmarkStart w:id="8" w:name="_Toc500843230"/>
      <w:bookmarkStart w:id="9" w:name="_Toc500843245"/>
      <w:bookmarkStart w:id="10" w:name="_Toc501437884"/>
      <w:bookmarkStart w:id="11" w:name="_Toc501437936"/>
    </w:p>
    <w:p w:rsidR="00C0520D" w:rsidRPr="00802F5B" w:rsidRDefault="00C0520D" w:rsidP="00802F5B">
      <w:pPr>
        <w:jc w:val="both"/>
        <w:rPr>
          <w:rFonts w:ascii="Trebuchet MS" w:hAnsi="Trebuchet MS"/>
          <w:b/>
          <w:bCs/>
        </w:rPr>
      </w:pPr>
      <w:r w:rsidRPr="00802F5B">
        <w:rPr>
          <w:rFonts w:ascii="Trebuchet MS" w:hAnsi="Trebuchet MS"/>
        </w:rPr>
        <w:t>Framework contracts are those where a number of suppliers have been pre-procured with all the public sector rules complied with. It is therefore possible to purchase directly from frameworks with no further procurement process being necessary, irrespective of the value being procured. This can be very efficient as it saves a significant administration costs</w:t>
      </w:r>
      <w:r w:rsidR="00E25B76" w:rsidRPr="00802F5B">
        <w:rPr>
          <w:rFonts w:ascii="Trebuchet MS" w:hAnsi="Trebuchet MS"/>
        </w:rPr>
        <w:t xml:space="preserve"> as well as ensuring tendered low prices</w:t>
      </w:r>
      <w:r w:rsidRPr="00802F5B">
        <w:rPr>
          <w:rFonts w:ascii="Trebuchet MS" w:hAnsi="Trebuchet MS"/>
        </w:rPr>
        <w:t>.</w:t>
      </w:r>
      <w:bookmarkEnd w:id="6"/>
      <w:bookmarkEnd w:id="7"/>
      <w:bookmarkEnd w:id="8"/>
      <w:bookmarkEnd w:id="9"/>
      <w:bookmarkEnd w:id="10"/>
      <w:bookmarkEnd w:id="11"/>
      <w:r w:rsidRPr="00802F5B">
        <w:rPr>
          <w:rFonts w:ascii="Trebuchet MS" w:hAnsi="Trebuchet MS"/>
        </w:rPr>
        <w:t xml:space="preserve"> </w:t>
      </w:r>
    </w:p>
    <w:p w:rsidR="00C0520D" w:rsidRPr="00802F5B" w:rsidRDefault="00C0520D" w:rsidP="00802F5B">
      <w:pPr>
        <w:jc w:val="both"/>
        <w:rPr>
          <w:rFonts w:ascii="Trebuchet MS" w:hAnsi="Trebuchet MS"/>
          <w:b/>
          <w:bCs/>
        </w:rPr>
      </w:pPr>
      <w:bookmarkStart w:id="12" w:name="_Toc500765713"/>
      <w:bookmarkStart w:id="13" w:name="_Toc500772292"/>
      <w:bookmarkStart w:id="14" w:name="_Toc500843231"/>
      <w:bookmarkStart w:id="15" w:name="_Toc500843246"/>
      <w:bookmarkStart w:id="16" w:name="_Toc501437885"/>
      <w:bookmarkStart w:id="17" w:name="_Toc501437937"/>
      <w:r w:rsidRPr="00802F5B">
        <w:rPr>
          <w:rFonts w:ascii="Trebuchet MS" w:hAnsi="Trebuchet MS"/>
        </w:rPr>
        <w:t xml:space="preserve">There is also often the opportunity to run a mini-competition through a framework which can be much quicker than a full procurement tender. This is where a number of suppliers have been pre-approved by the framework and then compete to fulfil </w:t>
      </w:r>
      <w:r w:rsidR="00D07270" w:rsidRPr="00802F5B">
        <w:rPr>
          <w:rFonts w:ascii="Trebuchet MS" w:hAnsi="Trebuchet MS"/>
        </w:rPr>
        <w:t>the</w:t>
      </w:r>
      <w:r w:rsidRPr="00802F5B">
        <w:rPr>
          <w:rFonts w:ascii="Trebuchet MS" w:hAnsi="Trebuchet MS"/>
        </w:rPr>
        <w:t xml:space="preserve"> contract with </w:t>
      </w:r>
      <w:r w:rsidR="00D07270" w:rsidRPr="00802F5B">
        <w:rPr>
          <w:rFonts w:ascii="Trebuchet MS" w:hAnsi="Trebuchet MS"/>
        </w:rPr>
        <w:t>the contract being awarded to the</w:t>
      </w:r>
      <w:r w:rsidRPr="00802F5B">
        <w:rPr>
          <w:rFonts w:ascii="Trebuchet MS" w:hAnsi="Trebuchet MS"/>
        </w:rPr>
        <w:t xml:space="preserve"> offer that gives best value for money.</w:t>
      </w:r>
      <w:bookmarkEnd w:id="12"/>
      <w:bookmarkEnd w:id="13"/>
      <w:bookmarkEnd w:id="14"/>
      <w:bookmarkEnd w:id="15"/>
      <w:bookmarkEnd w:id="16"/>
      <w:bookmarkEnd w:id="17"/>
    </w:p>
    <w:p w:rsidR="00C0520D" w:rsidRDefault="00C0520D" w:rsidP="00802F5B">
      <w:pPr>
        <w:spacing w:after="100" w:afterAutospacing="1"/>
        <w:jc w:val="both"/>
        <w:rPr>
          <w:rFonts w:ascii="Trebuchet MS" w:hAnsi="Trebuchet MS"/>
        </w:rPr>
      </w:pPr>
      <w:r w:rsidRPr="00E1240E">
        <w:rPr>
          <w:rFonts w:ascii="Trebuchet MS" w:hAnsi="Trebuchet MS"/>
        </w:rPr>
        <w:t xml:space="preserve">Examples </w:t>
      </w:r>
      <w:r w:rsidR="00D07270">
        <w:rPr>
          <w:rFonts w:ascii="Trebuchet MS" w:hAnsi="Trebuchet MS"/>
        </w:rPr>
        <w:t>of frameworks that the t</w:t>
      </w:r>
      <w:r>
        <w:rPr>
          <w:rFonts w:ascii="Trebuchet MS" w:hAnsi="Trebuchet MS"/>
        </w:rPr>
        <w:t xml:space="preserve">rust </w:t>
      </w:r>
      <w:r w:rsidR="00D07270">
        <w:rPr>
          <w:rFonts w:ascii="Trebuchet MS" w:hAnsi="Trebuchet MS"/>
        </w:rPr>
        <w:t>has</w:t>
      </w:r>
      <w:r>
        <w:rPr>
          <w:rFonts w:ascii="Trebuchet MS" w:hAnsi="Trebuchet MS"/>
        </w:rPr>
        <w:t xml:space="preserve"> used </w:t>
      </w:r>
      <w:r w:rsidRPr="00E1240E">
        <w:rPr>
          <w:rFonts w:ascii="Trebuchet MS" w:hAnsi="Trebuchet MS"/>
        </w:rPr>
        <w:t xml:space="preserve">include Crown Commercial Services, Eastern Shires Purchasing Organisation (ESPO), </w:t>
      </w:r>
      <w:r>
        <w:rPr>
          <w:rFonts w:ascii="Trebuchet MS" w:hAnsi="Trebuchet MS"/>
        </w:rPr>
        <w:t>frameworks developed by Local Authorities and the Think IT framework. There are oth</w:t>
      </w:r>
      <w:r w:rsidR="00D07270">
        <w:rPr>
          <w:rFonts w:ascii="Trebuchet MS" w:hAnsi="Trebuchet MS"/>
        </w:rPr>
        <w:t xml:space="preserve">ers. </w:t>
      </w:r>
      <w:r w:rsidR="00E25B76">
        <w:rPr>
          <w:rFonts w:ascii="Trebuchet MS" w:hAnsi="Trebuchet MS"/>
        </w:rPr>
        <w:t>T</w:t>
      </w:r>
      <w:r w:rsidR="00D07270">
        <w:rPr>
          <w:rFonts w:ascii="Trebuchet MS" w:hAnsi="Trebuchet MS"/>
        </w:rPr>
        <w:t>he t</w:t>
      </w:r>
      <w:r>
        <w:rPr>
          <w:rFonts w:ascii="Trebuchet MS" w:hAnsi="Trebuchet MS"/>
        </w:rPr>
        <w:t xml:space="preserve">rust </w:t>
      </w:r>
      <w:r w:rsidR="00E25B76">
        <w:rPr>
          <w:rFonts w:ascii="Trebuchet MS" w:hAnsi="Trebuchet MS"/>
        </w:rPr>
        <w:t>can also</w:t>
      </w:r>
      <w:r>
        <w:rPr>
          <w:rFonts w:ascii="Trebuchet MS" w:hAnsi="Trebuchet MS"/>
        </w:rPr>
        <w:t xml:space="preserve"> creat</w:t>
      </w:r>
      <w:r w:rsidR="00D07270">
        <w:rPr>
          <w:rFonts w:ascii="Trebuchet MS" w:hAnsi="Trebuchet MS"/>
        </w:rPr>
        <w:t xml:space="preserve">e frameworks for </w:t>
      </w:r>
      <w:r w:rsidR="0020093E">
        <w:rPr>
          <w:rFonts w:ascii="Trebuchet MS" w:hAnsi="Trebuchet MS"/>
        </w:rPr>
        <w:t>t</w:t>
      </w:r>
      <w:r>
        <w:rPr>
          <w:rFonts w:ascii="Trebuchet MS" w:hAnsi="Trebuchet MS"/>
        </w:rPr>
        <w:t>rust schools to purchase from.</w:t>
      </w:r>
    </w:p>
    <w:p w:rsidR="00C0520D" w:rsidRDefault="00C0520D" w:rsidP="00802F5B">
      <w:pPr>
        <w:jc w:val="both"/>
        <w:rPr>
          <w:rFonts w:ascii="Trebuchet MS" w:hAnsi="Trebuchet MS"/>
        </w:rPr>
      </w:pPr>
      <w:r>
        <w:rPr>
          <w:rFonts w:ascii="Trebuchet MS" w:hAnsi="Trebuchet MS"/>
        </w:rPr>
        <w:t xml:space="preserve">Despite frameworks being a very attractive way to procure, it is sensible to make some </w:t>
      </w:r>
      <w:r w:rsidR="0020093E">
        <w:rPr>
          <w:rFonts w:ascii="Trebuchet MS" w:hAnsi="Trebuchet MS"/>
        </w:rPr>
        <w:t xml:space="preserve">open market </w:t>
      </w:r>
      <w:r>
        <w:rPr>
          <w:rFonts w:ascii="Trebuchet MS" w:hAnsi="Trebuchet MS"/>
        </w:rPr>
        <w:t>comparisons between what is on offer to ensure value for money, particularly for purchases</w:t>
      </w:r>
      <w:r w:rsidR="00E25B76">
        <w:rPr>
          <w:rFonts w:ascii="Trebuchet MS" w:hAnsi="Trebuchet MS"/>
        </w:rPr>
        <w:t xml:space="preserve"> where the price may fluctuate over time</w:t>
      </w:r>
      <w:r>
        <w:rPr>
          <w:rFonts w:ascii="Trebuchet MS" w:hAnsi="Trebuchet MS"/>
        </w:rPr>
        <w:t>. It is also important to make sure that the framework is set up to allow us to purchase (</w:t>
      </w:r>
      <w:proofErr w:type="spellStart"/>
      <w:r>
        <w:rPr>
          <w:rFonts w:ascii="Trebuchet MS" w:hAnsi="Trebuchet MS"/>
        </w:rPr>
        <w:t>ie</w:t>
      </w:r>
      <w:proofErr w:type="spellEnd"/>
      <w:r>
        <w:rPr>
          <w:rFonts w:ascii="Trebuchet MS" w:hAnsi="Trebuchet MS"/>
        </w:rPr>
        <w:t xml:space="preserve">: it applies to academies), the specification and contract terms are suitable for our needs and that we understand the framework mechanism of purchase (how to order, </w:t>
      </w:r>
      <w:proofErr w:type="spellStart"/>
      <w:r>
        <w:rPr>
          <w:rFonts w:ascii="Trebuchet MS" w:hAnsi="Trebuchet MS"/>
        </w:rPr>
        <w:t>etc</w:t>
      </w:r>
      <w:proofErr w:type="spellEnd"/>
      <w:r>
        <w:rPr>
          <w:rFonts w:ascii="Trebuchet MS" w:hAnsi="Trebuchet MS"/>
        </w:rPr>
        <w:t>) so that we are compliant.</w:t>
      </w:r>
    </w:p>
    <w:p w:rsidR="00C0520D" w:rsidRPr="00802F5B" w:rsidRDefault="00C0520D" w:rsidP="000932BB">
      <w:pPr>
        <w:pStyle w:val="Heading1"/>
        <w:numPr>
          <w:ilvl w:val="0"/>
          <w:numId w:val="2"/>
        </w:numPr>
        <w:spacing w:before="0"/>
        <w:ind w:left="567" w:hanging="567"/>
        <w:rPr>
          <w:rFonts w:cs="Arial"/>
          <w:szCs w:val="22"/>
        </w:rPr>
      </w:pPr>
      <w:bookmarkStart w:id="18" w:name="_Toc511124970"/>
      <w:r w:rsidRPr="00802F5B">
        <w:rPr>
          <w:rFonts w:cs="Arial"/>
          <w:szCs w:val="22"/>
        </w:rPr>
        <w:t>Contracts over 1 Year</w:t>
      </w:r>
      <w:bookmarkEnd w:id="18"/>
    </w:p>
    <w:p w:rsidR="0057539F" w:rsidRDefault="0057539F" w:rsidP="0057539F">
      <w:pPr>
        <w:pStyle w:val="Heading1"/>
        <w:numPr>
          <w:ilvl w:val="0"/>
          <w:numId w:val="0"/>
        </w:numPr>
        <w:spacing w:before="0"/>
        <w:rPr>
          <w:rFonts w:cs="Arial"/>
          <w:sz w:val="22"/>
          <w:szCs w:val="22"/>
        </w:rPr>
      </w:pPr>
    </w:p>
    <w:p w:rsidR="00C0520D" w:rsidRDefault="00C0520D" w:rsidP="00802F5B">
      <w:pPr>
        <w:jc w:val="both"/>
        <w:rPr>
          <w:rFonts w:ascii="Trebuchet MS" w:hAnsi="Trebuchet MS"/>
        </w:rPr>
      </w:pPr>
      <w:r>
        <w:rPr>
          <w:rFonts w:ascii="Trebuchet MS" w:hAnsi="Trebuchet MS"/>
        </w:rPr>
        <w:t xml:space="preserve">Under the </w:t>
      </w:r>
      <w:r w:rsidR="00802F5B">
        <w:rPr>
          <w:rFonts w:ascii="Trebuchet MS" w:hAnsi="Trebuchet MS"/>
        </w:rPr>
        <w:t>t</w:t>
      </w:r>
      <w:r>
        <w:rPr>
          <w:rFonts w:ascii="Trebuchet MS" w:hAnsi="Trebuchet MS"/>
        </w:rPr>
        <w:t xml:space="preserve">rust’s Scheme of </w:t>
      </w:r>
      <w:r w:rsidR="00294AD6">
        <w:rPr>
          <w:rFonts w:ascii="Trebuchet MS" w:hAnsi="Trebuchet MS"/>
        </w:rPr>
        <w:t>F</w:t>
      </w:r>
      <w:r>
        <w:rPr>
          <w:rFonts w:ascii="Trebuchet MS" w:hAnsi="Trebuchet MS"/>
        </w:rPr>
        <w:t xml:space="preserve">inancial Delegation, all contracts over one year must be signed by the Executive Director (Finance and Operations). All contracts over one year </w:t>
      </w:r>
      <w:r w:rsidR="00E25B76">
        <w:rPr>
          <w:rFonts w:ascii="Trebuchet MS" w:hAnsi="Trebuchet MS"/>
        </w:rPr>
        <w:t xml:space="preserve">must be approved </w:t>
      </w:r>
      <w:r w:rsidR="00C64434">
        <w:rPr>
          <w:rFonts w:ascii="Trebuchet MS" w:hAnsi="Trebuchet MS"/>
        </w:rPr>
        <w:t>according to</w:t>
      </w:r>
      <w:r w:rsidR="00E25B76">
        <w:rPr>
          <w:rFonts w:ascii="Trebuchet MS" w:hAnsi="Trebuchet MS"/>
        </w:rPr>
        <w:t xml:space="preserve"> the trust’s Scheme of Financial Delegation.</w:t>
      </w:r>
    </w:p>
    <w:p w:rsidR="00083707" w:rsidRPr="00802F5B" w:rsidRDefault="00083707" w:rsidP="00083707">
      <w:pPr>
        <w:pStyle w:val="Heading1"/>
        <w:numPr>
          <w:ilvl w:val="0"/>
          <w:numId w:val="2"/>
        </w:numPr>
        <w:spacing w:before="0"/>
        <w:ind w:left="567" w:hanging="567"/>
        <w:rPr>
          <w:rFonts w:cs="Arial"/>
          <w:szCs w:val="22"/>
        </w:rPr>
      </w:pPr>
      <w:bookmarkStart w:id="19" w:name="_Toc511124971"/>
      <w:r w:rsidRPr="00802F5B">
        <w:rPr>
          <w:rFonts w:cs="Arial"/>
          <w:szCs w:val="22"/>
        </w:rPr>
        <w:t>Purchasing collaboratively</w:t>
      </w:r>
      <w:bookmarkEnd w:id="19"/>
    </w:p>
    <w:p w:rsidR="00C64434" w:rsidRDefault="00C64434" w:rsidP="00083707">
      <w:pPr>
        <w:rPr>
          <w:rFonts w:ascii="Trebuchet MS" w:hAnsi="Trebuchet MS"/>
        </w:rPr>
      </w:pPr>
    </w:p>
    <w:p w:rsidR="00E25B76" w:rsidRDefault="00083707" w:rsidP="00802F5B">
      <w:pPr>
        <w:jc w:val="both"/>
        <w:rPr>
          <w:rFonts w:ascii="Trebuchet MS" w:hAnsi="Trebuchet MS"/>
        </w:rPr>
      </w:pPr>
      <w:r w:rsidRPr="00083707">
        <w:rPr>
          <w:rFonts w:ascii="Trebuchet MS" w:hAnsi="Trebuchet MS"/>
        </w:rPr>
        <w:t>One of the terms of reference for hub governing bodies is to facilitate collaborative purchasing across the hub</w:t>
      </w:r>
      <w:r>
        <w:rPr>
          <w:rFonts w:ascii="Trebuchet MS" w:hAnsi="Trebuchet MS"/>
        </w:rPr>
        <w:t xml:space="preserve">. It is </w:t>
      </w:r>
      <w:r w:rsidR="00E25B76">
        <w:rPr>
          <w:rFonts w:ascii="Trebuchet MS" w:hAnsi="Trebuchet MS"/>
        </w:rPr>
        <w:t>expected</w:t>
      </w:r>
      <w:r>
        <w:rPr>
          <w:rFonts w:ascii="Trebuchet MS" w:hAnsi="Trebuchet MS"/>
        </w:rPr>
        <w:t xml:space="preserve"> that collaborative purchasing on a trust or hub basis will lead to economies of scale.</w:t>
      </w:r>
      <w:r w:rsidR="006217AA">
        <w:rPr>
          <w:rFonts w:ascii="Trebuchet MS" w:hAnsi="Trebuchet MS"/>
        </w:rPr>
        <w:t xml:space="preserve"> </w:t>
      </w:r>
      <w:r w:rsidR="00E25B76">
        <w:rPr>
          <w:rFonts w:ascii="Trebuchet MS" w:hAnsi="Trebuchet MS"/>
        </w:rPr>
        <w:t>T</w:t>
      </w:r>
      <w:r w:rsidR="006217AA">
        <w:rPr>
          <w:rFonts w:ascii="Trebuchet MS" w:hAnsi="Trebuchet MS"/>
        </w:rPr>
        <w:t xml:space="preserve">he trust may </w:t>
      </w:r>
      <w:r w:rsidR="00E25B76">
        <w:rPr>
          <w:rFonts w:ascii="Trebuchet MS" w:hAnsi="Trebuchet MS"/>
        </w:rPr>
        <w:t xml:space="preserve">also </w:t>
      </w:r>
      <w:r w:rsidR="006217AA">
        <w:rPr>
          <w:rFonts w:ascii="Trebuchet MS" w:hAnsi="Trebuchet MS"/>
        </w:rPr>
        <w:t>procure collaboratively with other trusts.</w:t>
      </w:r>
      <w:r>
        <w:rPr>
          <w:rFonts w:ascii="Trebuchet MS" w:hAnsi="Trebuchet MS"/>
        </w:rPr>
        <w:t xml:space="preserve"> </w:t>
      </w:r>
    </w:p>
    <w:p w:rsidR="00E25B76" w:rsidRDefault="00E25B76" w:rsidP="00802F5B">
      <w:pPr>
        <w:jc w:val="both"/>
        <w:rPr>
          <w:rFonts w:ascii="Trebuchet MS" w:hAnsi="Trebuchet MS"/>
        </w:rPr>
      </w:pPr>
      <w:r>
        <w:rPr>
          <w:rFonts w:ascii="Trebuchet MS" w:hAnsi="Trebuchet MS"/>
        </w:rPr>
        <w:t xml:space="preserve">The Board of Directors and Executive Leadership Team of the trust make procurement decisions on behalf of all schools in the trust, whether the cost is paid from the central budget or from the budgets of individual schools. </w:t>
      </w:r>
    </w:p>
    <w:p w:rsidR="00083707" w:rsidRDefault="00083707" w:rsidP="00802F5B">
      <w:pPr>
        <w:jc w:val="both"/>
        <w:rPr>
          <w:rFonts w:ascii="Trebuchet MS" w:hAnsi="Trebuchet MS"/>
        </w:rPr>
      </w:pPr>
      <w:r>
        <w:rPr>
          <w:rFonts w:ascii="Trebuchet MS" w:hAnsi="Trebuchet MS"/>
        </w:rPr>
        <w:t>When purchasing collaboratively it is necessary to ensure that:</w:t>
      </w:r>
    </w:p>
    <w:p w:rsidR="00083707" w:rsidRDefault="00083707" w:rsidP="00802F5B">
      <w:pPr>
        <w:pStyle w:val="ListParagraph"/>
        <w:numPr>
          <w:ilvl w:val="0"/>
          <w:numId w:val="19"/>
        </w:numPr>
        <w:jc w:val="both"/>
        <w:rPr>
          <w:rFonts w:ascii="Trebuchet MS" w:hAnsi="Trebuchet MS"/>
        </w:rPr>
      </w:pPr>
      <w:r>
        <w:rPr>
          <w:rFonts w:ascii="Trebuchet MS" w:hAnsi="Trebuchet MS"/>
        </w:rPr>
        <w:t>There is commitment from the schools involved at the start of the process to a collaborative procurement</w:t>
      </w:r>
    </w:p>
    <w:p w:rsidR="00083707" w:rsidRDefault="00083707" w:rsidP="00802F5B">
      <w:pPr>
        <w:pStyle w:val="ListParagraph"/>
        <w:numPr>
          <w:ilvl w:val="0"/>
          <w:numId w:val="19"/>
        </w:numPr>
        <w:jc w:val="both"/>
        <w:rPr>
          <w:rFonts w:ascii="Trebuchet MS" w:hAnsi="Trebuchet MS"/>
        </w:rPr>
      </w:pPr>
      <w:r>
        <w:rPr>
          <w:rFonts w:ascii="Trebuchet MS" w:hAnsi="Trebuchet MS"/>
        </w:rPr>
        <w:t>The lead person driving the procurement is identified</w:t>
      </w:r>
    </w:p>
    <w:p w:rsidR="00083707" w:rsidRDefault="00083707" w:rsidP="00802F5B">
      <w:pPr>
        <w:pStyle w:val="ListParagraph"/>
        <w:numPr>
          <w:ilvl w:val="0"/>
          <w:numId w:val="19"/>
        </w:numPr>
        <w:jc w:val="both"/>
        <w:rPr>
          <w:rFonts w:ascii="Trebuchet MS" w:hAnsi="Trebuchet MS"/>
        </w:rPr>
      </w:pPr>
      <w:r>
        <w:rPr>
          <w:rFonts w:ascii="Trebuchet MS" w:hAnsi="Trebuchet MS"/>
        </w:rPr>
        <w:t>Contract valuation is carried out correctly</w:t>
      </w:r>
    </w:p>
    <w:p w:rsidR="00083707" w:rsidRDefault="00083707" w:rsidP="00802F5B">
      <w:pPr>
        <w:pStyle w:val="ListParagraph"/>
        <w:numPr>
          <w:ilvl w:val="0"/>
          <w:numId w:val="19"/>
        </w:numPr>
        <w:jc w:val="both"/>
        <w:rPr>
          <w:rFonts w:ascii="Trebuchet MS" w:hAnsi="Trebuchet MS"/>
        </w:rPr>
      </w:pPr>
      <w:r>
        <w:rPr>
          <w:rFonts w:ascii="Trebuchet MS" w:hAnsi="Trebuchet MS"/>
        </w:rPr>
        <w:t xml:space="preserve">The specification is agreed </w:t>
      </w:r>
      <w:r w:rsidR="006C3F63">
        <w:rPr>
          <w:rFonts w:ascii="Trebuchet MS" w:hAnsi="Trebuchet MS"/>
        </w:rPr>
        <w:t>on behalf of</w:t>
      </w:r>
      <w:r>
        <w:rPr>
          <w:rFonts w:ascii="Trebuchet MS" w:hAnsi="Trebuchet MS"/>
        </w:rPr>
        <w:t xml:space="preserve"> all parties</w:t>
      </w:r>
    </w:p>
    <w:p w:rsidR="00083707" w:rsidRDefault="00083707" w:rsidP="00802F5B">
      <w:pPr>
        <w:pStyle w:val="ListParagraph"/>
        <w:numPr>
          <w:ilvl w:val="0"/>
          <w:numId w:val="19"/>
        </w:numPr>
        <w:jc w:val="both"/>
        <w:rPr>
          <w:rFonts w:ascii="Trebuchet MS" w:hAnsi="Trebuchet MS"/>
        </w:rPr>
      </w:pPr>
      <w:r>
        <w:rPr>
          <w:rFonts w:ascii="Trebuchet MS" w:hAnsi="Trebuchet MS"/>
        </w:rPr>
        <w:t>Decisions on awarding the contract are clear and made according to the scheme of delegation</w:t>
      </w:r>
    </w:p>
    <w:p w:rsidR="006217AA" w:rsidRPr="00083707" w:rsidRDefault="006217AA" w:rsidP="00802F5B">
      <w:pPr>
        <w:pStyle w:val="ListParagraph"/>
        <w:numPr>
          <w:ilvl w:val="0"/>
          <w:numId w:val="19"/>
        </w:numPr>
        <w:jc w:val="both"/>
        <w:rPr>
          <w:rFonts w:ascii="Trebuchet MS" w:hAnsi="Trebuchet MS"/>
        </w:rPr>
      </w:pPr>
      <w:r>
        <w:rPr>
          <w:rFonts w:ascii="Trebuchet MS" w:hAnsi="Trebuchet MS"/>
        </w:rPr>
        <w:t xml:space="preserve">Consideration is given on what to do if the best value contract is not the best value for </w:t>
      </w:r>
      <w:r w:rsidR="006C3F63">
        <w:rPr>
          <w:rFonts w:ascii="Trebuchet MS" w:hAnsi="Trebuchet MS"/>
        </w:rPr>
        <w:t>each individual participant</w:t>
      </w:r>
      <w:r>
        <w:rPr>
          <w:rFonts w:ascii="Trebuchet MS" w:hAnsi="Trebuchet MS"/>
        </w:rPr>
        <w:t xml:space="preserve"> in the procurement</w:t>
      </w:r>
    </w:p>
    <w:p w:rsidR="004F232E" w:rsidRPr="00802F5B" w:rsidRDefault="004F232E" w:rsidP="000932BB">
      <w:pPr>
        <w:pStyle w:val="Heading1"/>
        <w:numPr>
          <w:ilvl w:val="0"/>
          <w:numId w:val="2"/>
        </w:numPr>
        <w:spacing w:before="0"/>
        <w:ind w:left="567" w:hanging="567"/>
        <w:rPr>
          <w:rFonts w:cs="Arial"/>
          <w:szCs w:val="22"/>
        </w:rPr>
      </w:pPr>
      <w:bookmarkStart w:id="20" w:name="_Toc511124972"/>
      <w:r w:rsidRPr="00802F5B">
        <w:rPr>
          <w:rFonts w:cs="Arial"/>
          <w:szCs w:val="22"/>
        </w:rPr>
        <w:t>TUPE</w:t>
      </w:r>
      <w:bookmarkEnd w:id="20"/>
    </w:p>
    <w:p w:rsidR="000932BB" w:rsidRDefault="000932BB" w:rsidP="000932BB">
      <w:pPr>
        <w:rPr>
          <w:rFonts w:ascii="Trebuchet MS" w:hAnsi="Trebuchet MS"/>
        </w:rPr>
      </w:pPr>
    </w:p>
    <w:p w:rsidR="000932BB" w:rsidRPr="000932BB" w:rsidRDefault="000932BB" w:rsidP="00802F5B">
      <w:pPr>
        <w:jc w:val="both"/>
        <w:rPr>
          <w:rFonts w:ascii="Trebuchet MS" w:hAnsi="Trebuchet MS"/>
        </w:rPr>
      </w:pPr>
      <w:r w:rsidRPr="000932BB">
        <w:rPr>
          <w:rFonts w:ascii="Trebuchet MS" w:hAnsi="Trebuchet MS"/>
        </w:rPr>
        <w:t xml:space="preserve">There are some contracts </w:t>
      </w:r>
      <w:r>
        <w:rPr>
          <w:rFonts w:ascii="Trebuchet MS" w:hAnsi="Trebuchet MS"/>
        </w:rPr>
        <w:t xml:space="preserve">that involve the provision of services to the trust which mean that members of staff employed in the provision of these services may have </w:t>
      </w:r>
      <w:r w:rsidR="00C64434">
        <w:rPr>
          <w:rFonts w:ascii="Trebuchet MS" w:hAnsi="Trebuchet MS"/>
        </w:rPr>
        <w:t xml:space="preserve">employment </w:t>
      </w:r>
      <w:r>
        <w:rPr>
          <w:rFonts w:ascii="Trebuchet MS" w:hAnsi="Trebuchet MS"/>
        </w:rPr>
        <w:t>rights when the contracts are re-negotiated. Examples include cleaning and catering contracts but may extend further to estate management and extended schools provision. If considering the letting of contracts such as these then the trust’s HR team should be contacted well in advance to advise on the TUPE (Transfer of Undertaking Protection of Employment) transfer process. It should be noted that TUPE increases the complexity of letting the contract and therefore the time allowed should be extended.</w:t>
      </w:r>
    </w:p>
    <w:p w:rsidR="00C0520D" w:rsidRPr="00802F5B" w:rsidRDefault="00FE6C12" w:rsidP="000932BB">
      <w:pPr>
        <w:pStyle w:val="Heading1"/>
        <w:numPr>
          <w:ilvl w:val="0"/>
          <w:numId w:val="2"/>
        </w:numPr>
        <w:spacing w:before="0" w:after="100" w:afterAutospacing="1"/>
        <w:ind w:left="567" w:hanging="567"/>
        <w:rPr>
          <w:rFonts w:cs="Arial"/>
          <w:szCs w:val="22"/>
        </w:rPr>
      </w:pPr>
      <w:bookmarkStart w:id="21" w:name="_Toc511124973"/>
      <w:r w:rsidRPr="00802F5B">
        <w:rPr>
          <w:rFonts w:cs="Arial"/>
          <w:szCs w:val="22"/>
        </w:rPr>
        <w:t>Low Value Contract</w:t>
      </w:r>
      <w:r w:rsidR="00BA5946" w:rsidRPr="00802F5B">
        <w:rPr>
          <w:rFonts w:cs="Arial"/>
          <w:szCs w:val="22"/>
        </w:rPr>
        <w:t>s</w:t>
      </w:r>
      <w:r w:rsidRPr="00802F5B">
        <w:rPr>
          <w:rFonts w:cs="Arial"/>
          <w:szCs w:val="22"/>
        </w:rPr>
        <w:t xml:space="preserve"> (</w:t>
      </w:r>
      <w:r w:rsidR="00BA5946" w:rsidRPr="00802F5B">
        <w:rPr>
          <w:rFonts w:cs="Arial"/>
          <w:szCs w:val="22"/>
        </w:rPr>
        <w:t xml:space="preserve">less than </w:t>
      </w:r>
      <w:r w:rsidR="00C64434" w:rsidRPr="00802F5B">
        <w:rPr>
          <w:rFonts w:cs="Arial"/>
          <w:szCs w:val="22"/>
        </w:rPr>
        <w:t>£10</w:t>
      </w:r>
      <w:r w:rsidR="00BA5946" w:rsidRPr="00802F5B">
        <w:rPr>
          <w:rFonts w:cs="Arial"/>
          <w:szCs w:val="22"/>
        </w:rPr>
        <w:t>,000)</w:t>
      </w:r>
      <w:bookmarkEnd w:id="21"/>
    </w:p>
    <w:p w:rsidR="00E1240E" w:rsidRPr="00BA5946" w:rsidRDefault="00BA5946" w:rsidP="00802F5B">
      <w:pPr>
        <w:spacing w:after="100" w:afterAutospacing="1"/>
        <w:jc w:val="both"/>
        <w:rPr>
          <w:rFonts w:ascii="Trebuchet MS" w:hAnsi="Trebuchet MS"/>
        </w:rPr>
      </w:pPr>
      <w:r w:rsidRPr="00BA5946">
        <w:rPr>
          <w:rFonts w:ascii="Trebuchet MS" w:hAnsi="Trebuchet MS"/>
        </w:rPr>
        <w:t xml:space="preserve">For </w:t>
      </w:r>
      <w:r w:rsidR="00C64434">
        <w:rPr>
          <w:rFonts w:ascii="Trebuchet MS" w:hAnsi="Trebuchet MS"/>
        </w:rPr>
        <w:t>purchases and contracts under £10</w:t>
      </w:r>
      <w:r w:rsidRPr="00BA5946">
        <w:rPr>
          <w:rFonts w:ascii="Trebuchet MS" w:hAnsi="Trebuchet MS"/>
        </w:rPr>
        <w:t xml:space="preserve">,000 excluding VAT, the purchase can be made under the Scheme of Financial Delegation without the need for competitive quotes. However it is </w:t>
      </w:r>
      <w:r w:rsidR="006C3F63">
        <w:rPr>
          <w:rFonts w:ascii="Trebuchet MS" w:hAnsi="Trebuchet MS"/>
        </w:rPr>
        <w:t>often beneficial</w:t>
      </w:r>
      <w:r w:rsidRPr="00BA5946">
        <w:rPr>
          <w:rFonts w:ascii="Trebuchet MS" w:hAnsi="Trebuchet MS"/>
        </w:rPr>
        <w:t xml:space="preserve"> to obtain quotes to ensure good value for money or to browse framework agreements or the internet to reassure the purchaser that the price is competitive.</w:t>
      </w:r>
      <w:r w:rsidR="006C3F63">
        <w:rPr>
          <w:rFonts w:ascii="Trebuchet MS" w:hAnsi="Trebuchet MS"/>
        </w:rPr>
        <w:t xml:space="preserve"> Decisions on these actions are made locally.</w:t>
      </w:r>
    </w:p>
    <w:p w:rsidR="00B33B68" w:rsidRDefault="00B33B68" w:rsidP="00BA5946">
      <w:pPr>
        <w:spacing w:after="100" w:afterAutospacing="1"/>
        <w:rPr>
          <w:rFonts w:ascii="Trebuchet MS" w:hAnsi="Trebuchet MS"/>
        </w:rPr>
      </w:pPr>
    </w:p>
    <w:p w:rsidR="00BA5946" w:rsidRPr="00BA5946" w:rsidRDefault="00B33B68" w:rsidP="00802F5B">
      <w:pPr>
        <w:spacing w:after="100" w:afterAutospacing="1"/>
        <w:jc w:val="both"/>
        <w:rPr>
          <w:rFonts w:ascii="Trebuchet MS" w:hAnsi="Trebuchet MS"/>
        </w:rPr>
      </w:pPr>
      <w:r>
        <w:rPr>
          <w:rFonts w:ascii="Trebuchet MS" w:hAnsi="Trebuchet MS"/>
        </w:rPr>
        <w:t>Charge</w:t>
      </w:r>
      <w:r w:rsidR="00BA5946" w:rsidRPr="00BA5946">
        <w:rPr>
          <w:rFonts w:ascii="Trebuchet MS" w:hAnsi="Trebuchet MS"/>
        </w:rPr>
        <w:t xml:space="preserve"> cards are provided to key individuals in the trust to enable purchases at this level to be made efficiently, including taking advantage of online prices or where time is of the essence. The </w:t>
      </w:r>
      <w:r w:rsidR="00C64434">
        <w:rPr>
          <w:rFonts w:ascii="Trebuchet MS" w:hAnsi="Trebuchet MS"/>
        </w:rPr>
        <w:t>Charge</w:t>
      </w:r>
      <w:r w:rsidR="00BA5946" w:rsidRPr="00BA5946">
        <w:rPr>
          <w:rFonts w:ascii="Trebuchet MS" w:hAnsi="Trebuchet MS"/>
        </w:rPr>
        <w:t xml:space="preserve"> Card Policy deals with the matters that should be taken into account when purchasing in this way, but care should be taken to make sure that value for money is obtained regardless of the purchasing method.</w:t>
      </w:r>
    </w:p>
    <w:p w:rsidR="00E1240E" w:rsidRPr="00802F5B" w:rsidRDefault="006C3F63" w:rsidP="00C64434">
      <w:pPr>
        <w:pStyle w:val="Heading1"/>
        <w:numPr>
          <w:ilvl w:val="0"/>
          <w:numId w:val="2"/>
        </w:numPr>
        <w:spacing w:before="0" w:after="100" w:afterAutospacing="1"/>
        <w:ind w:left="567" w:hanging="567"/>
        <w:rPr>
          <w:rFonts w:cs="Arial"/>
          <w:szCs w:val="22"/>
        </w:rPr>
      </w:pPr>
      <w:r w:rsidRPr="00802F5B">
        <w:rPr>
          <w:rFonts w:cs="Arial"/>
          <w:szCs w:val="22"/>
        </w:rPr>
        <w:t xml:space="preserve">   </w:t>
      </w:r>
      <w:bookmarkStart w:id="22" w:name="_Toc511124974"/>
      <w:r w:rsidR="00BA5946" w:rsidRPr="00802F5B">
        <w:rPr>
          <w:rFonts w:cs="Arial"/>
          <w:szCs w:val="22"/>
        </w:rPr>
        <w:t>Medium Value Contracts</w:t>
      </w:r>
      <w:r w:rsidR="005B2394" w:rsidRPr="00802F5B">
        <w:rPr>
          <w:rFonts w:cs="Arial"/>
          <w:szCs w:val="22"/>
        </w:rPr>
        <w:t xml:space="preserve"> (up to £100,000)</w:t>
      </w:r>
      <w:bookmarkEnd w:id="22"/>
    </w:p>
    <w:p w:rsidR="00E1240E" w:rsidRPr="00C16205" w:rsidRDefault="005B2394" w:rsidP="00802F5B">
      <w:pPr>
        <w:jc w:val="both"/>
        <w:rPr>
          <w:rFonts w:ascii="Trebuchet MS" w:hAnsi="Trebuchet MS"/>
        </w:rPr>
      </w:pPr>
      <w:r w:rsidRPr="00C16205">
        <w:rPr>
          <w:rFonts w:ascii="Trebuchet MS" w:hAnsi="Trebuchet MS"/>
        </w:rPr>
        <w:t xml:space="preserve">For purchases and contracts up to £100,000 excluding VAT, at least 3 written quotations should be obtained. A </w:t>
      </w:r>
      <w:r w:rsidR="002452C3" w:rsidRPr="00C16205">
        <w:rPr>
          <w:rFonts w:ascii="Trebuchet MS" w:hAnsi="Trebuchet MS"/>
        </w:rPr>
        <w:t xml:space="preserve">written </w:t>
      </w:r>
      <w:r w:rsidRPr="00C16205">
        <w:rPr>
          <w:rFonts w:ascii="Trebuchet MS" w:hAnsi="Trebuchet MS"/>
        </w:rPr>
        <w:t>specification must be provided in advance of the quotation that details</w:t>
      </w:r>
      <w:r w:rsidR="00294AD6">
        <w:rPr>
          <w:rFonts w:ascii="Trebuchet MS" w:hAnsi="Trebuchet MS"/>
        </w:rPr>
        <w:t xml:space="preserve"> as a minimum</w:t>
      </w:r>
      <w:r w:rsidRPr="00C16205">
        <w:rPr>
          <w:rFonts w:ascii="Trebuchet MS" w:hAnsi="Trebuchet MS"/>
        </w:rPr>
        <w:t>:</w:t>
      </w:r>
    </w:p>
    <w:p w:rsidR="005B2394" w:rsidRPr="00C16205" w:rsidRDefault="005B2394" w:rsidP="00802F5B">
      <w:pPr>
        <w:pStyle w:val="ListParagraph"/>
        <w:numPr>
          <w:ilvl w:val="0"/>
          <w:numId w:val="4"/>
        </w:numPr>
        <w:jc w:val="both"/>
        <w:rPr>
          <w:rFonts w:ascii="Trebuchet MS" w:hAnsi="Trebuchet MS"/>
        </w:rPr>
      </w:pPr>
      <w:r w:rsidRPr="00C16205">
        <w:rPr>
          <w:rFonts w:ascii="Trebuchet MS" w:hAnsi="Trebuchet MS"/>
        </w:rPr>
        <w:t>A description of the requirement</w:t>
      </w:r>
    </w:p>
    <w:p w:rsidR="005B2394" w:rsidRPr="00C16205" w:rsidRDefault="005B2394" w:rsidP="00802F5B">
      <w:pPr>
        <w:pStyle w:val="ListParagraph"/>
        <w:numPr>
          <w:ilvl w:val="0"/>
          <w:numId w:val="4"/>
        </w:numPr>
        <w:jc w:val="both"/>
        <w:rPr>
          <w:rFonts w:ascii="Trebuchet MS" w:hAnsi="Trebuchet MS"/>
        </w:rPr>
      </w:pPr>
      <w:r w:rsidRPr="00C16205">
        <w:rPr>
          <w:rFonts w:ascii="Trebuchet MS" w:hAnsi="Trebuchet MS"/>
        </w:rPr>
        <w:t>Quantity required</w:t>
      </w:r>
    </w:p>
    <w:p w:rsidR="005B2394" w:rsidRDefault="005B2394" w:rsidP="00802F5B">
      <w:pPr>
        <w:pStyle w:val="ListParagraph"/>
        <w:numPr>
          <w:ilvl w:val="0"/>
          <w:numId w:val="4"/>
        </w:numPr>
        <w:jc w:val="both"/>
        <w:rPr>
          <w:rFonts w:ascii="Trebuchet MS" w:hAnsi="Trebuchet MS"/>
        </w:rPr>
      </w:pPr>
      <w:r w:rsidRPr="00C16205">
        <w:rPr>
          <w:rFonts w:ascii="Trebuchet MS" w:hAnsi="Trebuchet MS"/>
        </w:rPr>
        <w:t>Timescale  for provision or completion</w:t>
      </w:r>
    </w:p>
    <w:p w:rsidR="00C16205" w:rsidRDefault="00C16205" w:rsidP="00802F5B">
      <w:pPr>
        <w:pStyle w:val="ListParagraph"/>
        <w:numPr>
          <w:ilvl w:val="0"/>
          <w:numId w:val="4"/>
        </w:numPr>
        <w:jc w:val="both"/>
        <w:rPr>
          <w:rFonts w:ascii="Trebuchet MS" w:hAnsi="Trebuchet MS"/>
        </w:rPr>
      </w:pPr>
      <w:r>
        <w:rPr>
          <w:rFonts w:ascii="Trebuchet MS" w:hAnsi="Trebuchet MS"/>
        </w:rPr>
        <w:t>Deadline to submit quotation and all details of how to submit</w:t>
      </w:r>
    </w:p>
    <w:p w:rsidR="00B33B68" w:rsidRPr="00C16205" w:rsidRDefault="00B33B68" w:rsidP="00802F5B">
      <w:pPr>
        <w:pStyle w:val="ListParagraph"/>
        <w:numPr>
          <w:ilvl w:val="0"/>
          <w:numId w:val="4"/>
        </w:numPr>
        <w:jc w:val="both"/>
        <w:rPr>
          <w:rFonts w:ascii="Trebuchet MS" w:hAnsi="Trebuchet MS"/>
        </w:rPr>
      </w:pPr>
      <w:r>
        <w:rPr>
          <w:rFonts w:ascii="Trebuchet MS" w:hAnsi="Trebuchet MS"/>
        </w:rPr>
        <w:t>Details of schools to which the contract applies</w:t>
      </w:r>
    </w:p>
    <w:p w:rsidR="002452C3" w:rsidRPr="00C16205" w:rsidRDefault="002452C3" w:rsidP="00802F5B">
      <w:pPr>
        <w:jc w:val="both"/>
        <w:rPr>
          <w:rFonts w:ascii="Trebuchet MS" w:hAnsi="Trebuchet MS"/>
        </w:rPr>
      </w:pPr>
      <w:r w:rsidRPr="00C16205">
        <w:rPr>
          <w:rFonts w:ascii="Trebuchet MS" w:hAnsi="Trebuchet MS"/>
        </w:rPr>
        <w:t>The purpose of the specification is to be fair to all potential suppliers.</w:t>
      </w:r>
    </w:p>
    <w:p w:rsidR="005B2394" w:rsidRPr="00C16205" w:rsidRDefault="005B2394" w:rsidP="00802F5B">
      <w:pPr>
        <w:jc w:val="both"/>
        <w:rPr>
          <w:rFonts w:ascii="Trebuchet MS" w:hAnsi="Trebuchet MS"/>
        </w:rPr>
      </w:pPr>
      <w:r w:rsidRPr="00C16205">
        <w:rPr>
          <w:rFonts w:ascii="Trebuchet MS" w:hAnsi="Trebuchet MS"/>
        </w:rPr>
        <w:t>The quotations should be considered to provide the best available outcome taking into account price, quality and timing and this</w:t>
      </w:r>
      <w:r w:rsidR="002452C3" w:rsidRPr="00C16205">
        <w:rPr>
          <w:rFonts w:ascii="Trebuchet MS" w:hAnsi="Trebuchet MS"/>
        </w:rPr>
        <w:t xml:space="preserve"> choice</w:t>
      </w:r>
      <w:r w:rsidRPr="00C16205">
        <w:rPr>
          <w:rFonts w:ascii="Trebuchet MS" w:hAnsi="Trebuchet MS"/>
        </w:rPr>
        <w:t xml:space="preserve"> should be justified</w:t>
      </w:r>
      <w:r w:rsidR="002452C3" w:rsidRPr="00C16205">
        <w:rPr>
          <w:rFonts w:ascii="Trebuchet MS" w:hAnsi="Trebuchet MS"/>
        </w:rPr>
        <w:t xml:space="preserve"> in writing when seeking approval</w:t>
      </w:r>
      <w:r w:rsidRPr="00C16205">
        <w:rPr>
          <w:rFonts w:ascii="Trebuchet MS" w:hAnsi="Trebuchet MS"/>
        </w:rPr>
        <w:t xml:space="preserve">. </w:t>
      </w:r>
      <w:r w:rsidR="006C3F63">
        <w:rPr>
          <w:rFonts w:ascii="Trebuchet MS" w:hAnsi="Trebuchet MS"/>
        </w:rPr>
        <w:t>Authorisation limits specified in the trust’s Scheme of Financial Delegation should be complied with</w:t>
      </w:r>
      <w:r w:rsidRPr="00C16205">
        <w:rPr>
          <w:rFonts w:ascii="Trebuchet MS" w:hAnsi="Trebuchet MS"/>
        </w:rPr>
        <w:t>.</w:t>
      </w:r>
    </w:p>
    <w:p w:rsidR="00201AE4" w:rsidRPr="00C16205" w:rsidRDefault="00201AE4" w:rsidP="00802F5B">
      <w:pPr>
        <w:jc w:val="both"/>
        <w:rPr>
          <w:rFonts w:ascii="Trebuchet MS" w:hAnsi="Trebuchet MS"/>
        </w:rPr>
      </w:pPr>
      <w:r w:rsidRPr="00C16205">
        <w:rPr>
          <w:rFonts w:ascii="Trebuchet MS" w:hAnsi="Trebuchet MS"/>
        </w:rPr>
        <w:t>Note: If purchasing from a framework there is no requirement to obtain 3 written quotations. It is also acceptable to go to a full tender process rather than quotations if it is felt this will obtain a better result.</w:t>
      </w:r>
    </w:p>
    <w:p w:rsidR="00201AE4" w:rsidRPr="00802F5B" w:rsidRDefault="00201AE4" w:rsidP="00C64434">
      <w:pPr>
        <w:pStyle w:val="Heading1"/>
        <w:numPr>
          <w:ilvl w:val="0"/>
          <w:numId w:val="2"/>
        </w:numPr>
        <w:spacing w:before="0" w:after="100" w:afterAutospacing="1"/>
        <w:ind w:left="567" w:hanging="567"/>
        <w:rPr>
          <w:rFonts w:cs="Arial"/>
          <w:szCs w:val="22"/>
        </w:rPr>
      </w:pPr>
      <w:r w:rsidRPr="00802F5B">
        <w:rPr>
          <w:rFonts w:cs="Arial"/>
          <w:szCs w:val="22"/>
        </w:rPr>
        <w:t xml:space="preserve"> </w:t>
      </w:r>
      <w:bookmarkStart w:id="23" w:name="_Toc511124975"/>
      <w:r w:rsidRPr="00802F5B">
        <w:rPr>
          <w:rFonts w:cs="Arial"/>
          <w:szCs w:val="22"/>
        </w:rPr>
        <w:t>High Value Contracts (over £100,000)</w:t>
      </w:r>
      <w:bookmarkEnd w:id="23"/>
    </w:p>
    <w:p w:rsidR="005B2394" w:rsidRDefault="00C16205" w:rsidP="00802F5B">
      <w:pPr>
        <w:jc w:val="both"/>
        <w:rPr>
          <w:rFonts w:ascii="Trebuchet MS" w:hAnsi="Trebuchet MS"/>
        </w:rPr>
      </w:pPr>
      <w:r w:rsidRPr="00C16205">
        <w:rPr>
          <w:rFonts w:ascii="Trebuchet MS" w:hAnsi="Trebuchet MS"/>
        </w:rPr>
        <w:t>For purchases and contracts over £100,000 it is necessary</w:t>
      </w:r>
      <w:r w:rsidR="00294AD6">
        <w:rPr>
          <w:rFonts w:ascii="Trebuchet MS" w:hAnsi="Trebuchet MS"/>
        </w:rPr>
        <w:t xml:space="preserve"> to</w:t>
      </w:r>
      <w:r w:rsidRPr="00C16205">
        <w:rPr>
          <w:rFonts w:ascii="Trebuchet MS" w:hAnsi="Trebuchet MS"/>
        </w:rPr>
        <w:t xml:space="preserve"> </w:t>
      </w:r>
      <w:r w:rsidR="00EB6799">
        <w:rPr>
          <w:rFonts w:ascii="Trebuchet MS" w:hAnsi="Trebuchet MS"/>
        </w:rPr>
        <w:t xml:space="preserve">either purchase from a valid framework </w:t>
      </w:r>
      <w:r w:rsidR="00294AD6">
        <w:rPr>
          <w:rFonts w:ascii="Trebuchet MS" w:hAnsi="Trebuchet MS"/>
        </w:rPr>
        <w:t xml:space="preserve">as previously discussed, </w:t>
      </w:r>
      <w:r w:rsidR="00EB6799">
        <w:rPr>
          <w:rFonts w:ascii="Trebuchet MS" w:hAnsi="Trebuchet MS"/>
        </w:rPr>
        <w:t xml:space="preserve">or </w:t>
      </w:r>
      <w:r w:rsidRPr="00C16205">
        <w:rPr>
          <w:rFonts w:ascii="Trebuchet MS" w:hAnsi="Trebuchet MS"/>
        </w:rPr>
        <w:t>to use a full tender process</w:t>
      </w:r>
      <w:r>
        <w:rPr>
          <w:rFonts w:ascii="Trebuchet MS" w:hAnsi="Trebuchet MS"/>
        </w:rPr>
        <w:t>.</w:t>
      </w:r>
      <w:r w:rsidR="00B7156B">
        <w:rPr>
          <w:rFonts w:ascii="Trebuchet MS" w:hAnsi="Trebuchet MS"/>
        </w:rPr>
        <w:t xml:space="preserve"> </w:t>
      </w:r>
      <w:r w:rsidR="00294AD6">
        <w:rPr>
          <w:rFonts w:ascii="Trebuchet MS" w:hAnsi="Trebuchet MS"/>
        </w:rPr>
        <w:t>A full tender</w:t>
      </w:r>
      <w:r w:rsidR="00B7156B">
        <w:rPr>
          <w:rFonts w:ascii="Trebuchet MS" w:hAnsi="Trebuchet MS"/>
        </w:rPr>
        <w:t xml:space="preserve"> can be a complicated process and the use of procurement consultants </w:t>
      </w:r>
      <w:r w:rsidR="00294AD6">
        <w:rPr>
          <w:rFonts w:ascii="Trebuchet MS" w:hAnsi="Trebuchet MS"/>
        </w:rPr>
        <w:t xml:space="preserve">or project managers </w:t>
      </w:r>
      <w:r w:rsidR="00B7156B">
        <w:rPr>
          <w:rFonts w:ascii="Trebuchet MS" w:hAnsi="Trebuchet MS"/>
        </w:rPr>
        <w:t xml:space="preserve">who specialise in the area should be considered. </w:t>
      </w:r>
      <w:r w:rsidR="000E5AA9">
        <w:rPr>
          <w:rFonts w:ascii="Trebuchet MS" w:hAnsi="Trebuchet MS"/>
        </w:rPr>
        <w:t>T</w:t>
      </w:r>
      <w:r w:rsidR="00B7156B">
        <w:rPr>
          <w:rFonts w:ascii="Trebuchet MS" w:hAnsi="Trebuchet MS"/>
        </w:rPr>
        <w:t>he contract for the use of procurement consultants should it itself be procured correctly in line with this policy, which mean</w:t>
      </w:r>
      <w:r w:rsidR="00EB6799">
        <w:rPr>
          <w:rFonts w:ascii="Trebuchet MS" w:hAnsi="Trebuchet MS"/>
        </w:rPr>
        <w:t>s</w:t>
      </w:r>
      <w:r w:rsidR="00B7156B">
        <w:rPr>
          <w:rFonts w:ascii="Trebuchet MS" w:hAnsi="Trebuchet MS"/>
        </w:rPr>
        <w:t xml:space="preserve"> ample time </w:t>
      </w:r>
      <w:r w:rsidR="00EB6799">
        <w:rPr>
          <w:rFonts w:ascii="Trebuchet MS" w:hAnsi="Trebuchet MS"/>
        </w:rPr>
        <w:t xml:space="preserve">should be allowed </w:t>
      </w:r>
      <w:r w:rsidR="00B7156B">
        <w:rPr>
          <w:rFonts w:ascii="Trebuchet MS" w:hAnsi="Trebuchet MS"/>
        </w:rPr>
        <w:t xml:space="preserve">to </w:t>
      </w:r>
      <w:r w:rsidR="00EB6799">
        <w:rPr>
          <w:rFonts w:ascii="Trebuchet MS" w:hAnsi="Trebuchet MS"/>
        </w:rPr>
        <w:t>complete the procurement cycle</w:t>
      </w:r>
      <w:r w:rsidR="00B7156B">
        <w:rPr>
          <w:rFonts w:ascii="Trebuchet MS" w:hAnsi="Trebuchet MS"/>
        </w:rPr>
        <w:t>.</w:t>
      </w:r>
    </w:p>
    <w:p w:rsidR="00EB6799" w:rsidRDefault="00EB6799" w:rsidP="00802F5B">
      <w:pPr>
        <w:jc w:val="both"/>
        <w:rPr>
          <w:rFonts w:ascii="Trebuchet MS" w:hAnsi="Trebuchet MS"/>
        </w:rPr>
      </w:pPr>
      <w:r>
        <w:rPr>
          <w:rFonts w:ascii="Trebuchet MS" w:hAnsi="Trebuchet MS"/>
        </w:rPr>
        <w:t>The formal stages of a tender process are:</w:t>
      </w:r>
    </w:p>
    <w:p w:rsidR="00EB6799" w:rsidRDefault="00EB6799" w:rsidP="00802F5B">
      <w:pPr>
        <w:pStyle w:val="ListParagraph"/>
        <w:numPr>
          <w:ilvl w:val="0"/>
          <w:numId w:val="5"/>
        </w:numPr>
        <w:jc w:val="both"/>
        <w:rPr>
          <w:rFonts w:ascii="Trebuchet MS" w:hAnsi="Trebuchet MS"/>
        </w:rPr>
      </w:pPr>
      <w:r>
        <w:rPr>
          <w:rFonts w:ascii="Trebuchet MS" w:hAnsi="Trebuchet MS"/>
        </w:rPr>
        <w:t xml:space="preserve">Put together a detailed </w:t>
      </w:r>
      <w:r w:rsidRPr="00EB6799">
        <w:rPr>
          <w:rFonts w:ascii="Trebuchet MS" w:hAnsi="Trebuchet MS"/>
          <w:b/>
        </w:rPr>
        <w:t>invitation to tender</w:t>
      </w:r>
      <w:r>
        <w:rPr>
          <w:rFonts w:ascii="Trebuchet MS" w:hAnsi="Trebuchet MS"/>
        </w:rPr>
        <w:t xml:space="preserve"> including information on how the tender is going to be evaluated</w:t>
      </w:r>
    </w:p>
    <w:p w:rsidR="00EB6799" w:rsidRDefault="00EB6799" w:rsidP="00802F5B">
      <w:pPr>
        <w:pStyle w:val="ListParagraph"/>
        <w:numPr>
          <w:ilvl w:val="0"/>
          <w:numId w:val="5"/>
        </w:numPr>
        <w:jc w:val="both"/>
        <w:rPr>
          <w:rFonts w:ascii="Trebuchet MS" w:hAnsi="Trebuchet MS"/>
        </w:rPr>
      </w:pPr>
      <w:r>
        <w:rPr>
          <w:rFonts w:ascii="Trebuchet MS" w:hAnsi="Trebuchet MS"/>
        </w:rPr>
        <w:t xml:space="preserve">Either advertise as an </w:t>
      </w:r>
      <w:r w:rsidRPr="00EB6799">
        <w:rPr>
          <w:rFonts w:ascii="Trebuchet MS" w:hAnsi="Trebuchet MS"/>
          <w:b/>
        </w:rPr>
        <w:t>open tender</w:t>
      </w:r>
      <w:r>
        <w:rPr>
          <w:rFonts w:ascii="Trebuchet MS" w:hAnsi="Trebuchet MS"/>
        </w:rPr>
        <w:t xml:space="preserve"> or operate a </w:t>
      </w:r>
      <w:r w:rsidRPr="00EB6799">
        <w:rPr>
          <w:rFonts w:ascii="Trebuchet MS" w:hAnsi="Trebuchet MS"/>
          <w:b/>
        </w:rPr>
        <w:t>restricted tender</w:t>
      </w:r>
    </w:p>
    <w:p w:rsidR="00EB6799" w:rsidRDefault="00EB6799" w:rsidP="00802F5B">
      <w:pPr>
        <w:pStyle w:val="ListParagraph"/>
        <w:numPr>
          <w:ilvl w:val="0"/>
          <w:numId w:val="5"/>
        </w:numPr>
        <w:jc w:val="both"/>
        <w:rPr>
          <w:rFonts w:ascii="Trebuchet MS" w:hAnsi="Trebuchet MS"/>
        </w:rPr>
      </w:pPr>
      <w:r w:rsidRPr="00EB6799">
        <w:rPr>
          <w:rFonts w:ascii="Trebuchet MS" w:hAnsi="Trebuchet MS"/>
          <w:b/>
        </w:rPr>
        <w:t>Accept</w:t>
      </w:r>
      <w:r>
        <w:rPr>
          <w:rFonts w:ascii="Trebuchet MS" w:hAnsi="Trebuchet MS"/>
        </w:rPr>
        <w:t xml:space="preserve"> and </w:t>
      </w:r>
      <w:r w:rsidRPr="00EB6799">
        <w:rPr>
          <w:rFonts w:ascii="Trebuchet MS" w:hAnsi="Trebuchet MS"/>
          <w:b/>
        </w:rPr>
        <w:t>open</w:t>
      </w:r>
      <w:r>
        <w:rPr>
          <w:rFonts w:ascii="Trebuchet MS" w:hAnsi="Trebuchet MS"/>
        </w:rPr>
        <w:t xml:space="preserve"> the tenders</w:t>
      </w:r>
    </w:p>
    <w:p w:rsidR="00EB6799" w:rsidRDefault="00EB6799" w:rsidP="00802F5B">
      <w:pPr>
        <w:pStyle w:val="ListParagraph"/>
        <w:numPr>
          <w:ilvl w:val="0"/>
          <w:numId w:val="5"/>
        </w:numPr>
        <w:jc w:val="both"/>
        <w:rPr>
          <w:rFonts w:ascii="Trebuchet MS" w:hAnsi="Trebuchet MS"/>
        </w:rPr>
      </w:pPr>
      <w:r>
        <w:rPr>
          <w:rFonts w:ascii="Trebuchet MS" w:hAnsi="Trebuchet MS"/>
          <w:b/>
        </w:rPr>
        <w:t xml:space="preserve">Evaluate the tenders </w:t>
      </w:r>
      <w:r w:rsidRPr="00EB6799">
        <w:rPr>
          <w:rFonts w:ascii="Trebuchet MS" w:hAnsi="Trebuchet MS"/>
        </w:rPr>
        <w:t>in accordance with the criteria in the invitation to tender</w:t>
      </w:r>
    </w:p>
    <w:p w:rsidR="00EB6799" w:rsidRDefault="00EB6799" w:rsidP="00802F5B">
      <w:pPr>
        <w:pStyle w:val="ListParagraph"/>
        <w:numPr>
          <w:ilvl w:val="0"/>
          <w:numId w:val="5"/>
        </w:numPr>
        <w:jc w:val="both"/>
        <w:rPr>
          <w:rFonts w:ascii="Trebuchet MS" w:hAnsi="Trebuchet MS"/>
        </w:rPr>
      </w:pPr>
      <w:r>
        <w:rPr>
          <w:rFonts w:ascii="Trebuchet MS" w:hAnsi="Trebuchet MS"/>
          <w:b/>
        </w:rPr>
        <w:t>Award the contract</w:t>
      </w:r>
    </w:p>
    <w:p w:rsidR="00EB6799" w:rsidRDefault="00EB6799" w:rsidP="00802F5B">
      <w:pPr>
        <w:jc w:val="both"/>
        <w:rPr>
          <w:rFonts w:ascii="Trebuchet MS" w:hAnsi="Trebuchet MS"/>
        </w:rPr>
      </w:pPr>
      <w:r>
        <w:rPr>
          <w:rFonts w:ascii="Trebuchet MS" w:hAnsi="Trebuchet MS"/>
        </w:rPr>
        <w:t xml:space="preserve">These stages are discussed further in </w:t>
      </w:r>
      <w:r w:rsidRPr="007C273F">
        <w:rPr>
          <w:rFonts w:ascii="Trebuchet MS" w:eastAsia="@헤드라인A" w:hAnsi="Trebuchet MS" w:cs="Arial"/>
          <w:b/>
          <w:bCs/>
          <w:color w:val="345A8A"/>
        </w:rPr>
        <w:t>Appendix 1.</w:t>
      </w:r>
    </w:p>
    <w:p w:rsidR="007151EC" w:rsidRPr="00802F5B" w:rsidRDefault="00911E07" w:rsidP="00C64434">
      <w:pPr>
        <w:pStyle w:val="Heading1"/>
        <w:numPr>
          <w:ilvl w:val="0"/>
          <w:numId w:val="2"/>
        </w:numPr>
        <w:spacing w:before="0" w:after="100" w:afterAutospacing="1"/>
        <w:ind w:left="567" w:hanging="567"/>
        <w:rPr>
          <w:rFonts w:cs="Arial"/>
          <w:szCs w:val="22"/>
        </w:rPr>
      </w:pPr>
      <w:r w:rsidRPr="00802F5B">
        <w:rPr>
          <w:rFonts w:cs="Arial"/>
          <w:szCs w:val="22"/>
        </w:rPr>
        <w:t xml:space="preserve">  </w:t>
      </w:r>
      <w:bookmarkStart w:id="24" w:name="_Toc511124976"/>
      <w:r w:rsidR="007151EC" w:rsidRPr="00802F5B">
        <w:rPr>
          <w:rFonts w:cs="Arial"/>
          <w:szCs w:val="22"/>
        </w:rPr>
        <w:t>OJEU Process (over EU procurement threshold)</w:t>
      </w:r>
      <w:bookmarkEnd w:id="24"/>
    </w:p>
    <w:p w:rsidR="003934F5" w:rsidRDefault="00B84196" w:rsidP="00B7156B">
      <w:pPr>
        <w:rPr>
          <w:rFonts w:ascii="Trebuchet MS" w:hAnsi="Trebuchet MS"/>
        </w:rPr>
      </w:pPr>
      <w:hyperlink r:id="rId11" w:history="1">
        <w:r w:rsidR="00B7156B" w:rsidRPr="00B7156B">
          <w:rPr>
            <w:rStyle w:val="Hyperlink"/>
            <w:rFonts w:ascii="Trebuchet MS" w:hAnsi="Trebuchet MS"/>
          </w:rPr>
          <w:t>EU procurement thresholds</w:t>
        </w:r>
      </w:hyperlink>
      <w:r w:rsidR="00B7156B">
        <w:rPr>
          <w:rFonts w:ascii="Trebuchet MS" w:hAnsi="Trebuchet MS"/>
        </w:rPr>
        <w:t xml:space="preserve"> are updated every 2 years</w:t>
      </w:r>
      <w:r w:rsidR="00294AD6">
        <w:rPr>
          <w:rFonts w:ascii="Trebuchet MS" w:hAnsi="Trebuchet MS"/>
        </w:rPr>
        <w:t xml:space="preserve"> for movements in exchange rates</w:t>
      </w:r>
      <w:r w:rsidR="00B7156B">
        <w:rPr>
          <w:rFonts w:ascii="Trebuchet MS" w:hAnsi="Trebuchet MS"/>
        </w:rPr>
        <w:t>, but at the time</w:t>
      </w:r>
      <w:r w:rsidR="003934F5">
        <w:rPr>
          <w:rFonts w:ascii="Trebuchet MS" w:hAnsi="Trebuchet MS"/>
        </w:rPr>
        <w:t xml:space="preserve"> of approving this policy were:</w:t>
      </w:r>
      <w:r w:rsidR="00B7156B">
        <w:rPr>
          <w:rFonts w:ascii="Trebuchet MS" w:hAnsi="Trebuchet MS"/>
        </w:rPr>
        <w:tab/>
      </w:r>
      <w:r w:rsidR="003934F5">
        <w:rPr>
          <w:rFonts w:ascii="Trebuchet MS" w:hAnsi="Trebuchet MS"/>
        </w:rPr>
        <w:tab/>
      </w:r>
      <w:r w:rsidR="003934F5">
        <w:rPr>
          <w:rFonts w:ascii="Trebuchet MS" w:hAnsi="Trebuchet MS"/>
        </w:rPr>
        <w:tab/>
      </w:r>
      <w:r w:rsidR="00B7156B">
        <w:rPr>
          <w:rFonts w:ascii="Trebuchet MS" w:hAnsi="Trebuchet MS"/>
        </w:rPr>
        <w:tab/>
        <w:t xml:space="preserve"> </w:t>
      </w:r>
      <w:r w:rsidR="003934F5">
        <w:rPr>
          <w:rFonts w:ascii="Trebuchet MS" w:hAnsi="Trebuchet MS"/>
        </w:rPr>
        <w:t xml:space="preserve">     </w:t>
      </w:r>
    </w:p>
    <w:tbl>
      <w:tblPr>
        <w:tblStyle w:val="TableGrid"/>
        <w:tblW w:w="0" w:type="auto"/>
        <w:tblLook w:val="04A0" w:firstRow="1" w:lastRow="0" w:firstColumn="1" w:lastColumn="0" w:noHBand="0" w:noVBand="1"/>
      </w:tblPr>
      <w:tblGrid>
        <w:gridCol w:w="3080"/>
        <w:gridCol w:w="3081"/>
        <w:gridCol w:w="3081"/>
      </w:tblGrid>
      <w:tr w:rsidR="003934F5" w:rsidTr="003934F5">
        <w:tc>
          <w:tcPr>
            <w:tcW w:w="3080" w:type="dxa"/>
          </w:tcPr>
          <w:p w:rsidR="003934F5" w:rsidRDefault="003934F5" w:rsidP="00B7156B">
            <w:pPr>
              <w:rPr>
                <w:rFonts w:ascii="Trebuchet MS" w:hAnsi="Trebuchet MS"/>
              </w:rPr>
            </w:pPr>
            <w:r>
              <w:rPr>
                <w:rFonts w:ascii="Trebuchet MS" w:hAnsi="Trebuchet MS"/>
              </w:rPr>
              <w:t>Supply, Services &amp; Design Contracts</w:t>
            </w:r>
          </w:p>
        </w:tc>
        <w:tc>
          <w:tcPr>
            <w:tcW w:w="3081" w:type="dxa"/>
          </w:tcPr>
          <w:p w:rsidR="003934F5" w:rsidRDefault="003934F5" w:rsidP="00C559E4">
            <w:pPr>
              <w:rPr>
                <w:rFonts w:ascii="Trebuchet MS" w:hAnsi="Trebuchet MS"/>
              </w:rPr>
            </w:pPr>
            <w:r>
              <w:rPr>
                <w:rFonts w:ascii="Trebuchet MS" w:hAnsi="Trebuchet MS"/>
              </w:rPr>
              <w:t>£</w:t>
            </w:r>
            <w:r w:rsidR="00C559E4">
              <w:rPr>
                <w:rFonts w:ascii="Trebuchet MS" w:hAnsi="Trebuchet MS"/>
              </w:rPr>
              <w:t>181,302</w:t>
            </w:r>
          </w:p>
        </w:tc>
        <w:tc>
          <w:tcPr>
            <w:tcW w:w="3081" w:type="dxa"/>
          </w:tcPr>
          <w:p w:rsidR="003934F5" w:rsidRDefault="003934F5" w:rsidP="00B7156B">
            <w:pPr>
              <w:rPr>
                <w:rFonts w:ascii="Trebuchet MS" w:hAnsi="Trebuchet MS"/>
              </w:rPr>
            </w:pPr>
          </w:p>
        </w:tc>
      </w:tr>
      <w:tr w:rsidR="003934F5" w:rsidTr="003934F5">
        <w:tc>
          <w:tcPr>
            <w:tcW w:w="3080" w:type="dxa"/>
          </w:tcPr>
          <w:p w:rsidR="003934F5" w:rsidRDefault="00086D05" w:rsidP="00B7156B">
            <w:pPr>
              <w:rPr>
                <w:rFonts w:ascii="Trebuchet MS" w:hAnsi="Trebuchet MS"/>
              </w:rPr>
            </w:pPr>
            <w:r>
              <w:rPr>
                <w:rFonts w:ascii="Trebuchet MS" w:hAnsi="Trebuchet MS"/>
              </w:rPr>
              <w:t>Light touch</w:t>
            </w:r>
            <w:r w:rsidR="004270DB">
              <w:rPr>
                <w:rFonts w:ascii="Trebuchet MS" w:hAnsi="Trebuchet MS"/>
              </w:rPr>
              <w:t xml:space="preserve"> (</w:t>
            </w:r>
            <w:r w:rsidR="003738C3">
              <w:rPr>
                <w:rFonts w:ascii="Trebuchet MS" w:hAnsi="Trebuchet MS"/>
              </w:rPr>
              <w:t xml:space="preserve">services where there is </w:t>
            </w:r>
            <w:r w:rsidR="004270DB">
              <w:rPr>
                <w:rFonts w:ascii="Trebuchet MS" w:hAnsi="Trebuchet MS"/>
              </w:rPr>
              <w:t>little EU interest)</w:t>
            </w:r>
          </w:p>
        </w:tc>
        <w:tc>
          <w:tcPr>
            <w:tcW w:w="3081" w:type="dxa"/>
          </w:tcPr>
          <w:p w:rsidR="003934F5" w:rsidRDefault="003934F5" w:rsidP="00C559E4">
            <w:pPr>
              <w:rPr>
                <w:rFonts w:ascii="Trebuchet MS" w:hAnsi="Trebuchet MS"/>
              </w:rPr>
            </w:pPr>
            <w:r>
              <w:rPr>
                <w:rFonts w:ascii="Trebuchet MS" w:hAnsi="Trebuchet MS"/>
              </w:rPr>
              <w:t>£</w:t>
            </w:r>
            <w:r w:rsidR="00C559E4">
              <w:rPr>
                <w:rFonts w:ascii="Trebuchet MS" w:hAnsi="Trebuchet MS"/>
              </w:rPr>
              <w:t>615,278</w:t>
            </w:r>
          </w:p>
        </w:tc>
        <w:tc>
          <w:tcPr>
            <w:tcW w:w="3081" w:type="dxa"/>
          </w:tcPr>
          <w:p w:rsidR="003934F5" w:rsidRDefault="003934F5" w:rsidP="00B7156B">
            <w:pPr>
              <w:rPr>
                <w:rFonts w:ascii="Trebuchet MS" w:hAnsi="Trebuchet MS"/>
              </w:rPr>
            </w:pPr>
            <w:r>
              <w:rPr>
                <w:rFonts w:ascii="Trebuchet MS" w:hAnsi="Trebuchet MS"/>
              </w:rPr>
              <w:t xml:space="preserve">(includes </w:t>
            </w:r>
            <w:r w:rsidR="00086D05">
              <w:rPr>
                <w:rFonts w:ascii="Trebuchet MS" w:hAnsi="Trebuchet MS"/>
              </w:rPr>
              <w:t xml:space="preserve">catering, training, legal advice </w:t>
            </w:r>
            <w:r>
              <w:rPr>
                <w:rFonts w:ascii="Trebuchet MS" w:hAnsi="Trebuchet MS"/>
              </w:rPr>
              <w:t>or educational services for pupils)</w:t>
            </w:r>
          </w:p>
        </w:tc>
      </w:tr>
      <w:tr w:rsidR="003934F5" w:rsidTr="003934F5">
        <w:tc>
          <w:tcPr>
            <w:tcW w:w="3080" w:type="dxa"/>
          </w:tcPr>
          <w:p w:rsidR="003934F5" w:rsidRDefault="003934F5" w:rsidP="00B7156B">
            <w:pPr>
              <w:rPr>
                <w:rFonts w:ascii="Trebuchet MS" w:hAnsi="Trebuchet MS"/>
              </w:rPr>
            </w:pPr>
            <w:r>
              <w:rPr>
                <w:rFonts w:ascii="Trebuchet MS" w:hAnsi="Trebuchet MS"/>
              </w:rPr>
              <w:t>Works contracts</w:t>
            </w:r>
          </w:p>
        </w:tc>
        <w:tc>
          <w:tcPr>
            <w:tcW w:w="3081" w:type="dxa"/>
          </w:tcPr>
          <w:p w:rsidR="003934F5" w:rsidRPr="00C16205" w:rsidRDefault="003934F5" w:rsidP="003934F5">
            <w:pPr>
              <w:rPr>
                <w:rFonts w:ascii="Trebuchet MS" w:hAnsi="Trebuchet MS"/>
              </w:rPr>
            </w:pPr>
            <w:r>
              <w:rPr>
                <w:rFonts w:ascii="Trebuchet MS" w:hAnsi="Trebuchet MS"/>
              </w:rPr>
              <w:t>£4,</w:t>
            </w:r>
            <w:r w:rsidR="00C559E4">
              <w:rPr>
                <w:rFonts w:ascii="Trebuchet MS" w:hAnsi="Trebuchet MS"/>
              </w:rPr>
              <w:t>551,413</w:t>
            </w:r>
          </w:p>
          <w:p w:rsidR="003934F5" w:rsidRDefault="003934F5" w:rsidP="00B7156B">
            <w:pPr>
              <w:rPr>
                <w:rFonts w:ascii="Trebuchet MS" w:hAnsi="Trebuchet MS"/>
              </w:rPr>
            </w:pPr>
          </w:p>
        </w:tc>
        <w:tc>
          <w:tcPr>
            <w:tcW w:w="3081" w:type="dxa"/>
          </w:tcPr>
          <w:p w:rsidR="003934F5" w:rsidRDefault="00086D05" w:rsidP="00B7156B">
            <w:pPr>
              <w:rPr>
                <w:rFonts w:ascii="Trebuchet MS" w:hAnsi="Trebuchet MS"/>
              </w:rPr>
            </w:pPr>
            <w:r>
              <w:rPr>
                <w:rFonts w:ascii="Trebuchet MS" w:hAnsi="Trebuchet MS"/>
              </w:rPr>
              <w:t>Buildings, renovations and development</w:t>
            </w:r>
            <w:r w:rsidR="007151EC">
              <w:rPr>
                <w:rFonts w:ascii="Trebuchet MS" w:hAnsi="Trebuchet MS"/>
              </w:rPr>
              <w:t xml:space="preserve"> projects</w:t>
            </w:r>
          </w:p>
        </w:tc>
      </w:tr>
    </w:tbl>
    <w:p w:rsidR="007151EC" w:rsidRDefault="00B7156B" w:rsidP="00E1240E">
      <w:pPr>
        <w:rPr>
          <w:rFonts w:ascii="Trebuchet MS" w:hAnsi="Trebuchet MS"/>
        </w:rPr>
      </w:pPr>
      <w:r>
        <w:rPr>
          <w:rFonts w:ascii="Trebuchet MS" w:hAnsi="Trebuchet MS"/>
        </w:rPr>
        <w:tab/>
      </w:r>
    </w:p>
    <w:p w:rsidR="006F1048" w:rsidRDefault="007151EC" w:rsidP="00802F5B">
      <w:pPr>
        <w:jc w:val="both"/>
        <w:rPr>
          <w:rFonts w:ascii="Trebuchet MS" w:hAnsi="Trebuchet MS"/>
        </w:rPr>
      </w:pPr>
      <w:r>
        <w:rPr>
          <w:rFonts w:ascii="Trebuchet MS" w:hAnsi="Trebuchet MS"/>
        </w:rPr>
        <w:t>Once a contract is asse</w:t>
      </w:r>
      <w:r w:rsidR="00B33B68">
        <w:rPr>
          <w:rFonts w:ascii="Trebuchet MS" w:hAnsi="Trebuchet MS"/>
        </w:rPr>
        <w:t>sse</w:t>
      </w:r>
      <w:r>
        <w:rPr>
          <w:rFonts w:ascii="Trebuchet MS" w:hAnsi="Trebuchet MS"/>
        </w:rPr>
        <w:t xml:space="preserve">d as being valued above these thresholds then either it can be purchased through a framework that has already been to EU tender, or the </w:t>
      </w:r>
      <w:hyperlink r:id="rId12" w:history="1">
        <w:r w:rsidRPr="007151EC">
          <w:rPr>
            <w:rStyle w:val="Hyperlink"/>
            <w:rFonts w:ascii="Trebuchet MS" w:hAnsi="Trebuchet MS"/>
          </w:rPr>
          <w:t>OJEU rules</w:t>
        </w:r>
      </w:hyperlink>
      <w:r>
        <w:rPr>
          <w:rFonts w:ascii="Trebuchet MS" w:hAnsi="Trebuchet MS"/>
        </w:rPr>
        <w:t xml:space="preserve"> must be complied with. The OJEU rules are stringent, including the requirement to advertise </w:t>
      </w:r>
      <w:r w:rsidR="00F33B25">
        <w:rPr>
          <w:rFonts w:ascii="Trebuchet MS" w:hAnsi="Trebuchet MS"/>
        </w:rPr>
        <w:t>the contract in the Official J</w:t>
      </w:r>
      <w:r>
        <w:rPr>
          <w:rFonts w:ascii="Trebuchet MS" w:hAnsi="Trebuchet MS"/>
        </w:rPr>
        <w:t>ournal of the European Union (OJE</w:t>
      </w:r>
      <w:r w:rsidR="006F1048">
        <w:rPr>
          <w:rFonts w:ascii="Trebuchet MS" w:hAnsi="Trebuchet MS"/>
        </w:rPr>
        <w:t>U</w:t>
      </w:r>
      <w:r>
        <w:rPr>
          <w:rFonts w:ascii="Trebuchet MS" w:hAnsi="Trebuchet MS"/>
        </w:rPr>
        <w:t>)</w:t>
      </w:r>
      <w:r w:rsidR="006F1048">
        <w:rPr>
          <w:rFonts w:ascii="Trebuchet MS" w:hAnsi="Trebuchet MS"/>
        </w:rPr>
        <w:t xml:space="preserve">. </w:t>
      </w:r>
      <w:r w:rsidR="006F1048" w:rsidRPr="006F1048">
        <w:rPr>
          <w:rFonts w:ascii="Trebuchet MS" w:hAnsi="Trebuchet MS"/>
        </w:rPr>
        <w:t xml:space="preserve">If </w:t>
      </w:r>
      <w:r w:rsidR="006F1048">
        <w:rPr>
          <w:rFonts w:ascii="Trebuchet MS" w:hAnsi="Trebuchet MS"/>
        </w:rPr>
        <w:t>the trust does not</w:t>
      </w:r>
      <w:r w:rsidR="006F1048" w:rsidRPr="006F1048">
        <w:rPr>
          <w:rFonts w:ascii="Trebuchet MS" w:hAnsi="Trebuchet MS"/>
        </w:rPr>
        <w:t xml:space="preserve"> follow the regulations for purchases above the EU threshold, suppliers may be able to challenge spending decisions and contracts on the grounds that </w:t>
      </w:r>
      <w:r w:rsidR="006F1048">
        <w:rPr>
          <w:rFonts w:ascii="Trebuchet MS" w:hAnsi="Trebuchet MS"/>
        </w:rPr>
        <w:t>they have been</w:t>
      </w:r>
      <w:r w:rsidR="006F1048" w:rsidRPr="006F1048">
        <w:rPr>
          <w:rFonts w:ascii="Trebuchet MS" w:hAnsi="Trebuchet MS"/>
        </w:rPr>
        <w:t xml:space="preserve"> treated unfairly</w:t>
      </w:r>
      <w:r w:rsidR="006F1048" w:rsidRPr="0096022D">
        <w:rPr>
          <w:rFonts w:ascii="Trebuchet MS" w:hAnsi="Trebuchet MS"/>
        </w:rPr>
        <w:t>.</w:t>
      </w:r>
      <w:r w:rsidR="006F1048">
        <w:rPr>
          <w:rFonts w:ascii="Trebuchet MS" w:hAnsi="Trebuchet MS"/>
        </w:rPr>
        <w:t xml:space="preserve"> This can lead to large fines</w:t>
      </w:r>
      <w:r w:rsidR="006C3F63">
        <w:rPr>
          <w:rFonts w:ascii="Trebuchet MS" w:hAnsi="Trebuchet MS"/>
        </w:rPr>
        <w:t xml:space="preserve"> and compensation payments</w:t>
      </w:r>
      <w:r w:rsidR="006F1048">
        <w:rPr>
          <w:rFonts w:ascii="Trebuchet MS" w:hAnsi="Trebuchet MS"/>
        </w:rPr>
        <w:t xml:space="preserve">. </w:t>
      </w:r>
    </w:p>
    <w:p w:rsidR="0096022D" w:rsidRDefault="006F1048" w:rsidP="00802F5B">
      <w:pPr>
        <w:autoSpaceDE w:val="0"/>
        <w:autoSpaceDN w:val="0"/>
        <w:adjustRightInd w:val="0"/>
        <w:spacing w:after="0" w:line="240" w:lineRule="auto"/>
        <w:jc w:val="both"/>
        <w:rPr>
          <w:rFonts w:ascii="Trebuchet MS" w:hAnsi="Trebuchet MS"/>
        </w:rPr>
      </w:pPr>
      <w:r>
        <w:rPr>
          <w:rFonts w:ascii="Trebuchet MS" w:hAnsi="Trebuchet MS"/>
        </w:rPr>
        <w:t>When the trust enters into an OJEU process then it will ensure that specialist procurement advice is used to make the purchase, either internally or by the use of external procurement consultants. Therefore, before beginning a procurement over the size of the OJEU limit</w:t>
      </w:r>
      <w:r w:rsidR="00F33B25">
        <w:rPr>
          <w:rFonts w:ascii="Trebuchet MS" w:hAnsi="Trebuchet MS"/>
        </w:rPr>
        <w:t>,</w:t>
      </w:r>
      <w:r>
        <w:rPr>
          <w:rFonts w:ascii="Trebuchet MS" w:hAnsi="Trebuchet MS"/>
        </w:rPr>
        <w:t xml:space="preserve"> advice must be sought from the Executive Director (Finance and Operations)</w:t>
      </w:r>
      <w:r w:rsidR="00F33B25">
        <w:rPr>
          <w:rFonts w:ascii="Trebuchet MS" w:hAnsi="Trebuchet MS"/>
        </w:rPr>
        <w:t xml:space="preserve"> </w:t>
      </w:r>
      <w:r w:rsidR="00EB6799">
        <w:rPr>
          <w:rFonts w:ascii="Trebuchet MS" w:hAnsi="Trebuchet MS"/>
        </w:rPr>
        <w:t xml:space="preserve">in order </w:t>
      </w:r>
      <w:r w:rsidR="00F33B25">
        <w:rPr>
          <w:rFonts w:ascii="Trebuchet MS" w:hAnsi="Trebuchet MS"/>
        </w:rPr>
        <w:t>to ensure any subsequent procurement is compliant.</w:t>
      </w:r>
    </w:p>
    <w:p w:rsidR="00A42660" w:rsidRDefault="00A42660" w:rsidP="0096022D">
      <w:pPr>
        <w:autoSpaceDE w:val="0"/>
        <w:autoSpaceDN w:val="0"/>
        <w:adjustRightInd w:val="0"/>
        <w:spacing w:after="0" w:line="240" w:lineRule="auto"/>
        <w:rPr>
          <w:rFonts w:ascii="Trebuchet MS" w:hAnsi="Trebuchet MS"/>
        </w:rPr>
      </w:pPr>
    </w:p>
    <w:p w:rsidR="00EB6799" w:rsidRPr="00802F5B" w:rsidRDefault="00911E07" w:rsidP="00C64434">
      <w:pPr>
        <w:pStyle w:val="Heading1"/>
        <w:numPr>
          <w:ilvl w:val="0"/>
          <w:numId w:val="2"/>
        </w:numPr>
        <w:spacing w:before="0" w:after="100" w:afterAutospacing="1"/>
        <w:ind w:left="567" w:hanging="567"/>
        <w:rPr>
          <w:rFonts w:cs="Arial"/>
          <w:szCs w:val="22"/>
        </w:rPr>
      </w:pPr>
      <w:r w:rsidRPr="00802F5B">
        <w:rPr>
          <w:rFonts w:cs="Arial"/>
          <w:szCs w:val="22"/>
        </w:rPr>
        <w:t xml:space="preserve">  </w:t>
      </w:r>
      <w:bookmarkStart w:id="25" w:name="_Toc511124977"/>
      <w:r w:rsidR="00EB6799" w:rsidRPr="00802F5B">
        <w:rPr>
          <w:rFonts w:cs="Arial"/>
          <w:szCs w:val="22"/>
        </w:rPr>
        <w:t>Record Keeping</w:t>
      </w:r>
      <w:bookmarkEnd w:id="25"/>
    </w:p>
    <w:p w:rsidR="0096022D" w:rsidRDefault="0096022D" w:rsidP="00802F5B">
      <w:pPr>
        <w:autoSpaceDE w:val="0"/>
        <w:autoSpaceDN w:val="0"/>
        <w:adjustRightInd w:val="0"/>
        <w:spacing w:after="0" w:line="240" w:lineRule="auto"/>
        <w:jc w:val="both"/>
        <w:rPr>
          <w:rFonts w:ascii="Trebuchet MS" w:hAnsi="Trebuchet MS"/>
        </w:rPr>
      </w:pPr>
      <w:r w:rsidRPr="0096022D">
        <w:rPr>
          <w:rFonts w:ascii="Trebuchet MS" w:hAnsi="Trebuchet MS"/>
        </w:rPr>
        <w:t xml:space="preserve">For all purchases, a clear audit trail should be kept. The level of detail required will increase with the value of the procurement. The written record </w:t>
      </w:r>
      <w:r w:rsidR="00A42660">
        <w:rPr>
          <w:rFonts w:ascii="Trebuchet MS" w:hAnsi="Trebuchet MS"/>
        </w:rPr>
        <w:t>must</w:t>
      </w:r>
      <w:r w:rsidRPr="0096022D">
        <w:rPr>
          <w:rFonts w:ascii="Trebuchet MS" w:hAnsi="Trebuchet MS"/>
        </w:rPr>
        <w:t xml:space="preserve"> include</w:t>
      </w:r>
      <w:r w:rsidR="00A42660">
        <w:rPr>
          <w:rFonts w:ascii="Trebuchet MS" w:hAnsi="Trebuchet MS"/>
        </w:rPr>
        <w:t>:</w:t>
      </w:r>
      <w:r w:rsidRPr="0096022D">
        <w:rPr>
          <w:rFonts w:ascii="Trebuchet MS" w:hAnsi="Trebuchet MS"/>
        </w:rPr>
        <w:t xml:space="preserve"> </w:t>
      </w:r>
    </w:p>
    <w:p w:rsidR="00A42660" w:rsidRPr="0096022D" w:rsidRDefault="00A42660" w:rsidP="00802F5B">
      <w:pPr>
        <w:autoSpaceDE w:val="0"/>
        <w:autoSpaceDN w:val="0"/>
        <w:adjustRightInd w:val="0"/>
        <w:spacing w:after="0" w:line="240" w:lineRule="auto"/>
        <w:jc w:val="both"/>
        <w:rPr>
          <w:rFonts w:ascii="Trebuchet MS" w:hAnsi="Trebuchet MS"/>
        </w:rPr>
      </w:pPr>
    </w:p>
    <w:p w:rsidR="00A42660" w:rsidRPr="00300A92" w:rsidRDefault="00A42660" w:rsidP="00802F5B">
      <w:pPr>
        <w:pStyle w:val="ListParagraph"/>
        <w:numPr>
          <w:ilvl w:val="0"/>
          <w:numId w:val="6"/>
        </w:numPr>
        <w:jc w:val="both"/>
        <w:rPr>
          <w:rFonts w:ascii="Trebuchet MS" w:hAnsi="Trebuchet MS"/>
        </w:rPr>
      </w:pPr>
      <w:r w:rsidRPr="00300A92">
        <w:rPr>
          <w:rFonts w:ascii="Trebuchet MS" w:hAnsi="Trebuchet MS"/>
        </w:rPr>
        <w:t>details of the purchase itself, for example, what was purchased, from whom and the assessed value of the contract</w:t>
      </w:r>
    </w:p>
    <w:p w:rsidR="00A42660" w:rsidRPr="00E67A27" w:rsidRDefault="00061B9F" w:rsidP="00802F5B">
      <w:pPr>
        <w:pStyle w:val="ListParagraph"/>
        <w:numPr>
          <w:ilvl w:val="0"/>
          <w:numId w:val="6"/>
        </w:numPr>
        <w:jc w:val="both"/>
        <w:rPr>
          <w:rFonts w:ascii="Trebuchet MS" w:eastAsia="@헤드라인A" w:hAnsi="Trebuchet MS" w:cs="Arial"/>
          <w:b/>
          <w:bCs/>
        </w:rPr>
      </w:pPr>
      <w:r w:rsidRPr="00300A92">
        <w:rPr>
          <w:rFonts w:ascii="Trebuchet MS" w:hAnsi="Trebuchet MS"/>
        </w:rPr>
        <w:t>i</w:t>
      </w:r>
      <w:r w:rsidR="00A42660" w:rsidRPr="00300A92">
        <w:rPr>
          <w:rFonts w:ascii="Trebuchet MS" w:hAnsi="Trebuchet MS"/>
        </w:rPr>
        <w:t>nformation on the framework used for purchasing and why it was suitable for this contract; or copies of the quotations or tenders submitted</w:t>
      </w:r>
    </w:p>
    <w:p w:rsidR="00E67A27" w:rsidRPr="00300A92" w:rsidRDefault="00E67A27" w:rsidP="00802F5B">
      <w:pPr>
        <w:pStyle w:val="ListParagraph"/>
        <w:numPr>
          <w:ilvl w:val="0"/>
          <w:numId w:val="6"/>
        </w:numPr>
        <w:jc w:val="both"/>
        <w:rPr>
          <w:rFonts w:ascii="Trebuchet MS" w:eastAsia="@헤드라인A" w:hAnsi="Trebuchet MS" w:cs="Arial"/>
          <w:b/>
          <w:bCs/>
        </w:rPr>
      </w:pPr>
      <w:r>
        <w:rPr>
          <w:rFonts w:ascii="Trebuchet MS" w:hAnsi="Trebuchet MS"/>
        </w:rPr>
        <w:t>how the supplier complies with data protection (GDPR) requirements and agreements on any data sharing</w:t>
      </w:r>
    </w:p>
    <w:p w:rsidR="00A42660" w:rsidRPr="00B33B68" w:rsidRDefault="00A42660" w:rsidP="00802F5B">
      <w:pPr>
        <w:pStyle w:val="ListParagraph"/>
        <w:numPr>
          <w:ilvl w:val="0"/>
          <w:numId w:val="6"/>
        </w:numPr>
        <w:jc w:val="both"/>
        <w:rPr>
          <w:rFonts w:ascii="Trebuchet MS" w:eastAsia="@헤드라인A" w:hAnsi="Trebuchet MS" w:cs="Arial"/>
          <w:b/>
          <w:bCs/>
        </w:rPr>
      </w:pPr>
      <w:r w:rsidRPr="00300A92">
        <w:rPr>
          <w:rFonts w:ascii="Trebuchet MS" w:hAnsi="Trebuchet MS"/>
        </w:rPr>
        <w:t>who was responsible for evaluation of tenders, and details of the evaluation</w:t>
      </w:r>
      <w:r w:rsidR="00FA124B">
        <w:rPr>
          <w:rFonts w:ascii="Trebuchet MS" w:hAnsi="Trebuchet MS"/>
        </w:rPr>
        <w:t xml:space="preserve"> scoring</w:t>
      </w:r>
      <w:r w:rsidRPr="00300A92">
        <w:rPr>
          <w:rFonts w:ascii="Trebuchet MS" w:hAnsi="Trebuchet MS"/>
        </w:rPr>
        <w:t>, if applicable</w:t>
      </w:r>
    </w:p>
    <w:p w:rsidR="00B33B68" w:rsidRPr="00300A92" w:rsidRDefault="00B33B68" w:rsidP="00802F5B">
      <w:pPr>
        <w:pStyle w:val="ListParagraph"/>
        <w:numPr>
          <w:ilvl w:val="0"/>
          <w:numId w:val="6"/>
        </w:numPr>
        <w:jc w:val="both"/>
        <w:rPr>
          <w:rFonts w:ascii="Trebuchet MS" w:eastAsia="@헤드라인A" w:hAnsi="Trebuchet MS" w:cs="Arial"/>
          <w:b/>
          <w:bCs/>
        </w:rPr>
      </w:pPr>
      <w:r>
        <w:rPr>
          <w:rFonts w:ascii="Trebuchet MS" w:hAnsi="Trebuchet MS"/>
        </w:rPr>
        <w:t>tender and response from successful supplier</w:t>
      </w:r>
    </w:p>
    <w:p w:rsidR="00A42660" w:rsidRPr="00300A92" w:rsidRDefault="00A42660" w:rsidP="00802F5B">
      <w:pPr>
        <w:pStyle w:val="ListParagraph"/>
        <w:numPr>
          <w:ilvl w:val="0"/>
          <w:numId w:val="6"/>
        </w:numPr>
        <w:jc w:val="both"/>
        <w:rPr>
          <w:rFonts w:ascii="Trebuchet MS" w:eastAsia="@헤드라인A" w:hAnsi="Trebuchet MS" w:cs="Arial"/>
          <w:b/>
          <w:bCs/>
        </w:rPr>
      </w:pPr>
      <w:r w:rsidRPr="00300A92">
        <w:rPr>
          <w:rFonts w:ascii="Trebuchet MS" w:hAnsi="Trebuchet MS"/>
        </w:rPr>
        <w:t>who was responsible for making the decision to procure, and details of their decision making process</w:t>
      </w:r>
    </w:p>
    <w:p w:rsidR="00061B9F" w:rsidRPr="00300A92" w:rsidRDefault="00061B9F" w:rsidP="00802F5B">
      <w:pPr>
        <w:pStyle w:val="ListParagraph"/>
        <w:numPr>
          <w:ilvl w:val="0"/>
          <w:numId w:val="6"/>
        </w:numPr>
        <w:jc w:val="both"/>
        <w:rPr>
          <w:rFonts w:ascii="Trebuchet MS" w:eastAsia="@헤드라인A" w:hAnsi="Trebuchet MS" w:cs="Arial"/>
          <w:b/>
          <w:bCs/>
        </w:rPr>
      </w:pPr>
      <w:r w:rsidRPr="00300A92">
        <w:rPr>
          <w:rFonts w:ascii="Trebuchet MS" w:hAnsi="Trebuchet MS"/>
        </w:rPr>
        <w:t>where the lowest cost is not adopted the reason for this must be documented</w:t>
      </w:r>
    </w:p>
    <w:p w:rsidR="00A42660" w:rsidRPr="00300A92" w:rsidRDefault="00A42660" w:rsidP="00802F5B">
      <w:pPr>
        <w:pStyle w:val="ListParagraph"/>
        <w:numPr>
          <w:ilvl w:val="0"/>
          <w:numId w:val="6"/>
        </w:numPr>
        <w:jc w:val="both"/>
        <w:rPr>
          <w:rFonts w:ascii="Trebuchet MS" w:eastAsia="@헤드라인A" w:hAnsi="Trebuchet MS" w:cs="Arial"/>
          <w:b/>
          <w:bCs/>
        </w:rPr>
      </w:pPr>
      <w:r w:rsidRPr="00300A92">
        <w:rPr>
          <w:rFonts w:ascii="Trebuchet MS" w:hAnsi="Trebuchet MS"/>
        </w:rPr>
        <w:t>either full minutes or a link to the minutes of any Board/ LGB or EAB meeting at which the procurement was discus</w:t>
      </w:r>
      <w:r w:rsidR="00576689" w:rsidRPr="00300A92">
        <w:rPr>
          <w:rFonts w:ascii="Trebuchet MS" w:hAnsi="Trebuchet MS"/>
        </w:rPr>
        <w:t>sed</w:t>
      </w:r>
      <w:r w:rsidR="00061B9F" w:rsidRPr="00300A92">
        <w:rPr>
          <w:rFonts w:ascii="Trebuchet MS" w:hAnsi="Trebuchet MS"/>
        </w:rPr>
        <w:t xml:space="preserve"> and/or approved</w:t>
      </w:r>
    </w:p>
    <w:p w:rsidR="00061B9F" w:rsidRPr="00300A92" w:rsidRDefault="00061B9F" w:rsidP="00802F5B">
      <w:pPr>
        <w:pStyle w:val="ListParagraph"/>
        <w:numPr>
          <w:ilvl w:val="0"/>
          <w:numId w:val="6"/>
        </w:numPr>
        <w:jc w:val="both"/>
        <w:rPr>
          <w:rFonts w:ascii="Trebuchet MS" w:eastAsia="@헤드라인A" w:hAnsi="Trebuchet MS" w:cs="Arial"/>
          <w:b/>
          <w:bCs/>
        </w:rPr>
      </w:pPr>
      <w:r w:rsidRPr="00300A92">
        <w:rPr>
          <w:rFonts w:ascii="Trebuchet MS" w:hAnsi="Trebuchet MS"/>
        </w:rPr>
        <w:t>where the contract is for more than one year, the appropriate approval and a copy of the contract signed by the Executive Director (Finance and Operations)</w:t>
      </w:r>
    </w:p>
    <w:p w:rsidR="00A42660" w:rsidRPr="00300A92" w:rsidRDefault="00061B9F" w:rsidP="00802F5B">
      <w:pPr>
        <w:pStyle w:val="ListParagraph"/>
        <w:numPr>
          <w:ilvl w:val="0"/>
          <w:numId w:val="6"/>
        </w:numPr>
        <w:jc w:val="both"/>
        <w:rPr>
          <w:rFonts w:ascii="Trebuchet MS" w:hAnsi="Trebuchet MS"/>
        </w:rPr>
      </w:pPr>
      <w:r w:rsidRPr="00300A92">
        <w:rPr>
          <w:rFonts w:ascii="Trebuchet MS" w:hAnsi="Trebuchet MS"/>
        </w:rPr>
        <w:t>a</w:t>
      </w:r>
      <w:r w:rsidR="00A42660" w:rsidRPr="00300A92">
        <w:rPr>
          <w:rFonts w:ascii="Trebuchet MS" w:hAnsi="Trebuchet MS"/>
        </w:rPr>
        <w:t xml:space="preserve"> record of the order, of receipt and checking the goods or services and of authorising payment</w:t>
      </w:r>
    </w:p>
    <w:p w:rsidR="00061B9F" w:rsidRDefault="00300A92" w:rsidP="00802F5B">
      <w:pPr>
        <w:jc w:val="both"/>
        <w:rPr>
          <w:rFonts w:ascii="Trebuchet MS" w:hAnsi="Trebuchet MS"/>
        </w:rPr>
      </w:pPr>
      <w:r w:rsidRPr="00300A92">
        <w:rPr>
          <w:rFonts w:ascii="Trebuchet MS" w:hAnsi="Trebuchet MS"/>
        </w:rPr>
        <w:t>The trust holds a central contracts register</w:t>
      </w:r>
      <w:r>
        <w:rPr>
          <w:rFonts w:ascii="Trebuchet MS" w:hAnsi="Trebuchet MS"/>
        </w:rPr>
        <w:t xml:space="preserve"> in order to monitor all contracts for compliance and to determine where there is an opportunity to merge contracts to achieve better value for money across the trust. All contracts over 1 year and single year contracts that are renewable (including Service Level Agreements (SLAs)) should be entered onto this register. Information required:</w:t>
      </w:r>
    </w:p>
    <w:p w:rsidR="00300A92" w:rsidRPr="00300A92" w:rsidRDefault="00300A92" w:rsidP="00802F5B">
      <w:pPr>
        <w:pStyle w:val="TableSubBullet"/>
        <w:numPr>
          <w:ilvl w:val="0"/>
          <w:numId w:val="8"/>
        </w:numPr>
        <w:spacing w:after="0"/>
        <w:ind w:left="1105" w:hanging="357"/>
        <w:jc w:val="both"/>
        <w:rPr>
          <w:rFonts w:ascii="Trebuchet MS" w:hAnsi="Trebuchet MS"/>
        </w:rPr>
      </w:pPr>
      <w:r w:rsidRPr="00300A92">
        <w:rPr>
          <w:rFonts w:ascii="Trebuchet MS" w:hAnsi="Trebuchet MS"/>
        </w:rPr>
        <w:t>A description of the contract and what it is for</w:t>
      </w:r>
    </w:p>
    <w:p w:rsidR="00300A92" w:rsidRPr="00300A92" w:rsidRDefault="00300A92" w:rsidP="00802F5B">
      <w:pPr>
        <w:pStyle w:val="TableSubBullet"/>
        <w:numPr>
          <w:ilvl w:val="0"/>
          <w:numId w:val="8"/>
        </w:numPr>
        <w:spacing w:after="0"/>
        <w:ind w:left="1105" w:hanging="357"/>
        <w:jc w:val="both"/>
        <w:rPr>
          <w:rFonts w:ascii="Trebuchet MS" w:hAnsi="Trebuchet MS"/>
        </w:rPr>
      </w:pPr>
      <w:r w:rsidRPr="00300A92">
        <w:rPr>
          <w:rFonts w:ascii="Trebuchet MS" w:hAnsi="Trebuchet MS"/>
        </w:rPr>
        <w:t>The name of the supplier</w:t>
      </w:r>
    </w:p>
    <w:p w:rsidR="00300A92" w:rsidRPr="00300A92" w:rsidRDefault="00300A92" w:rsidP="00802F5B">
      <w:pPr>
        <w:pStyle w:val="TableSubBullet"/>
        <w:numPr>
          <w:ilvl w:val="0"/>
          <w:numId w:val="8"/>
        </w:numPr>
        <w:spacing w:after="0"/>
        <w:ind w:left="1105" w:hanging="357"/>
        <w:jc w:val="both"/>
        <w:rPr>
          <w:rFonts w:ascii="Trebuchet MS" w:hAnsi="Trebuchet MS"/>
        </w:rPr>
      </w:pPr>
      <w:r w:rsidRPr="00300A92">
        <w:rPr>
          <w:rFonts w:ascii="Trebuchet MS" w:hAnsi="Trebuchet MS"/>
        </w:rPr>
        <w:t>The date the contract was entered into and the date the contract expires</w:t>
      </w:r>
    </w:p>
    <w:p w:rsidR="00300A92" w:rsidRDefault="00300A92" w:rsidP="00802F5B">
      <w:pPr>
        <w:pStyle w:val="TableSubBullet"/>
        <w:numPr>
          <w:ilvl w:val="0"/>
          <w:numId w:val="8"/>
        </w:numPr>
        <w:spacing w:after="0"/>
        <w:ind w:left="1105" w:hanging="357"/>
        <w:jc w:val="both"/>
        <w:rPr>
          <w:rFonts w:ascii="Trebuchet MS" w:hAnsi="Trebuchet MS"/>
        </w:rPr>
      </w:pPr>
      <w:r w:rsidRPr="00300A92">
        <w:rPr>
          <w:rFonts w:ascii="Trebuchet MS" w:hAnsi="Trebuchet MS"/>
        </w:rPr>
        <w:t>The value of the contract</w:t>
      </w:r>
    </w:p>
    <w:p w:rsidR="00300A92" w:rsidRDefault="00300A92" w:rsidP="00802F5B">
      <w:pPr>
        <w:pStyle w:val="TableSubBullet"/>
        <w:numPr>
          <w:ilvl w:val="0"/>
          <w:numId w:val="8"/>
        </w:numPr>
        <w:spacing w:after="0"/>
        <w:ind w:left="1105" w:hanging="357"/>
        <w:jc w:val="both"/>
        <w:rPr>
          <w:rFonts w:ascii="Trebuchet MS" w:hAnsi="Trebuchet MS"/>
        </w:rPr>
      </w:pPr>
      <w:r>
        <w:rPr>
          <w:rFonts w:ascii="Trebuchet MS" w:hAnsi="Trebuchet MS"/>
        </w:rPr>
        <w:t>A scanned copy of the contract</w:t>
      </w:r>
    </w:p>
    <w:p w:rsidR="00911E07" w:rsidRDefault="00911E07" w:rsidP="00911E07">
      <w:pPr>
        <w:pStyle w:val="TableSubBullet"/>
        <w:numPr>
          <w:ilvl w:val="0"/>
          <w:numId w:val="0"/>
        </w:numPr>
        <w:spacing w:after="0"/>
        <w:ind w:left="360" w:hanging="360"/>
        <w:rPr>
          <w:rFonts w:ascii="Trebuchet MS" w:hAnsi="Trebuchet MS"/>
        </w:rPr>
      </w:pPr>
    </w:p>
    <w:p w:rsidR="00911E07" w:rsidRPr="00802F5B" w:rsidRDefault="00294AD6" w:rsidP="00C64434">
      <w:pPr>
        <w:pStyle w:val="Heading1"/>
        <w:numPr>
          <w:ilvl w:val="0"/>
          <w:numId w:val="2"/>
        </w:numPr>
        <w:spacing w:before="0" w:after="100" w:afterAutospacing="1"/>
        <w:ind w:left="567" w:hanging="567"/>
        <w:rPr>
          <w:rFonts w:cs="Arial"/>
          <w:szCs w:val="22"/>
        </w:rPr>
      </w:pPr>
      <w:r w:rsidRPr="00802F5B">
        <w:rPr>
          <w:rFonts w:cs="Arial"/>
          <w:szCs w:val="22"/>
        </w:rPr>
        <w:t xml:space="preserve"> </w:t>
      </w:r>
      <w:r w:rsidR="00A33930" w:rsidRPr="00802F5B">
        <w:rPr>
          <w:rFonts w:cs="Arial"/>
          <w:szCs w:val="22"/>
        </w:rPr>
        <w:t xml:space="preserve"> </w:t>
      </w:r>
      <w:bookmarkStart w:id="26" w:name="_Toc511124978"/>
      <w:r w:rsidRPr="00802F5B">
        <w:rPr>
          <w:rFonts w:cs="Arial"/>
          <w:szCs w:val="22"/>
        </w:rPr>
        <w:t>Exceptions to this Policy</w:t>
      </w:r>
      <w:bookmarkEnd w:id="26"/>
    </w:p>
    <w:p w:rsidR="00911E07" w:rsidRDefault="00381378" w:rsidP="00802F5B">
      <w:pPr>
        <w:pStyle w:val="TableSubBullet"/>
        <w:numPr>
          <w:ilvl w:val="0"/>
          <w:numId w:val="0"/>
        </w:numPr>
        <w:spacing w:after="0"/>
        <w:jc w:val="both"/>
        <w:rPr>
          <w:rFonts w:ascii="Trebuchet MS" w:hAnsi="Trebuchet MS"/>
        </w:rPr>
      </w:pPr>
      <w:r>
        <w:rPr>
          <w:rFonts w:ascii="Trebuchet MS" w:hAnsi="Trebuchet MS"/>
        </w:rPr>
        <w:t xml:space="preserve">Occasionally it is necessary to procure without following this policy. This may be done with the authorisation of the Executive Director (Finance and Operations) for procurements up to £40,000 and with the authorisation of the Accounting Officer over this amount. Authorisation will only be given on very rare occasions and such authorisations will be reported to the next meeting of the Board of Directors. </w:t>
      </w:r>
    </w:p>
    <w:p w:rsidR="00381378" w:rsidRDefault="00381378" w:rsidP="00802F5B">
      <w:pPr>
        <w:pStyle w:val="TableSubBullet"/>
        <w:numPr>
          <w:ilvl w:val="0"/>
          <w:numId w:val="0"/>
        </w:numPr>
        <w:spacing w:after="0"/>
        <w:jc w:val="both"/>
        <w:rPr>
          <w:rFonts w:ascii="Trebuchet MS" w:hAnsi="Trebuchet MS"/>
        </w:rPr>
      </w:pPr>
    </w:p>
    <w:p w:rsidR="00381378" w:rsidRDefault="00381378" w:rsidP="00802F5B">
      <w:pPr>
        <w:pStyle w:val="TableSubBullet"/>
        <w:numPr>
          <w:ilvl w:val="0"/>
          <w:numId w:val="0"/>
        </w:numPr>
        <w:spacing w:after="0"/>
        <w:jc w:val="both"/>
        <w:rPr>
          <w:rFonts w:ascii="Trebuchet MS" w:hAnsi="Trebuchet MS"/>
        </w:rPr>
      </w:pPr>
      <w:r>
        <w:rPr>
          <w:rFonts w:ascii="Trebuchet MS" w:hAnsi="Trebuchet MS"/>
        </w:rPr>
        <w:t>Potential reasons for an exceptional procurement are:</w:t>
      </w:r>
    </w:p>
    <w:p w:rsidR="00381378" w:rsidRDefault="00381378" w:rsidP="00802F5B">
      <w:pPr>
        <w:pStyle w:val="TableSubBullet"/>
        <w:numPr>
          <w:ilvl w:val="0"/>
          <w:numId w:val="0"/>
        </w:numPr>
        <w:spacing w:after="0"/>
        <w:jc w:val="both"/>
        <w:rPr>
          <w:rFonts w:ascii="Trebuchet MS" w:hAnsi="Trebuchet MS"/>
        </w:rPr>
      </w:pPr>
    </w:p>
    <w:p w:rsidR="00381378" w:rsidRDefault="00381378" w:rsidP="00802F5B">
      <w:pPr>
        <w:pStyle w:val="TableSubBullet"/>
        <w:numPr>
          <w:ilvl w:val="0"/>
          <w:numId w:val="15"/>
        </w:numPr>
        <w:spacing w:after="0"/>
        <w:jc w:val="both"/>
        <w:rPr>
          <w:rFonts w:ascii="Trebuchet MS" w:hAnsi="Trebuchet MS"/>
        </w:rPr>
      </w:pPr>
      <w:r>
        <w:rPr>
          <w:rFonts w:ascii="Trebuchet MS" w:hAnsi="Trebuchet MS"/>
        </w:rPr>
        <w:t xml:space="preserve">In an emergency to resolve an issue that has a Health &amp; Safety or other consequence where a proper procurement </w:t>
      </w:r>
      <w:r w:rsidR="006C3F63">
        <w:rPr>
          <w:rFonts w:ascii="Trebuchet MS" w:hAnsi="Trebuchet MS"/>
        </w:rPr>
        <w:t xml:space="preserve">process </w:t>
      </w:r>
      <w:r>
        <w:rPr>
          <w:rFonts w:ascii="Trebuchet MS" w:hAnsi="Trebuchet MS"/>
        </w:rPr>
        <w:t>would take too long.</w:t>
      </w:r>
    </w:p>
    <w:p w:rsidR="009C7609" w:rsidRDefault="009C7609" w:rsidP="00802F5B">
      <w:pPr>
        <w:pStyle w:val="TableSubBullet"/>
        <w:numPr>
          <w:ilvl w:val="0"/>
          <w:numId w:val="15"/>
        </w:numPr>
        <w:spacing w:after="0"/>
        <w:jc w:val="both"/>
        <w:rPr>
          <w:rFonts w:ascii="Trebuchet MS" w:hAnsi="Trebuchet MS"/>
        </w:rPr>
      </w:pPr>
      <w:r>
        <w:rPr>
          <w:rFonts w:ascii="Trebuchet MS" w:hAnsi="Trebuchet MS"/>
        </w:rPr>
        <w:t>Where there is only a single supplier of the goods or services and this can be demonstrated.</w:t>
      </w:r>
    </w:p>
    <w:p w:rsidR="00CB564D" w:rsidRPr="009C7609" w:rsidRDefault="00CB564D" w:rsidP="00802F5B">
      <w:pPr>
        <w:pStyle w:val="TableSubBullet"/>
        <w:numPr>
          <w:ilvl w:val="0"/>
          <w:numId w:val="15"/>
        </w:numPr>
        <w:spacing w:after="0"/>
        <w:jc w:val="both"/>
        <w:rPr>
          <w:rFonts w:ascii="Trebuchet MS" w:hAnsi="Trebuchet MS"/>
        </w:rPr>
      </w:pPr>
      <w:r>
        <w:rPr>
          <w:rFonts w:ascii="Trebuchet MS" w:hAnsi="Trebuchet MS"/>
        </w:rPr>
        <w:t>Where no suitable suppliers have come forward through the tender process it may be acceptable to negotiate a contract with a suitable alternative supplier.</w:t>
      </w:r>
    </w:p>
    <w:p w:rsidR="00911E07" w:rsidRDefault="00911E07" w:rsidP="00911E07">
      <w:pPr>
        <w:pStyle w:val="TableSubBullet"/>
        <w:numPr>
          <w:ilvl w:val="0"/>
          <w:numId w:val="0"/>
        </w:numPr>
        <w:spacing w:after="0"/>
        <w:ind w:left="360" w:hanging="360"/>
        <w:rPr>
          <w:rFonts w:ascii="Trebuchet MS" w:hAnsi="Trebuchet MS"/>
        </w:rPr>
      </w:pPr>
    </w:p>
    <w:p w:rsidR="00A33930" w:rsidRPr="00802F5B" w:rsidRDefault="00A33930" w:rsidP="00C64434">
      <w:pPr>
        <w:pStyle w:val="Heading1"/>
        <w:numPr>
          <w:ilvl w:val="0"/>
          <w:numId w:val="2"/>
        </w:numPr>
        <w:spacing w:before="0" w:after="100" w:afterAutospacing="1"/>
        <w:ind w:left="567" w:hanging="567"/>
        <w:rPr>
          <w:rFonts w:cs="Arial"/>
          <w:szCs w:val="22"/>
        </w:rPr>
      </w:pPr>
      <w:r w:rsidRPr="00802F5B">
        <w:rPr>
          <w:rFonts w:cs="Arial"/>
          <w:szCs w:val="22"/>
        </w:rPr>
        <w:t xml:space="preserve">  </w:t>
      </w:r>
      <w:bookmarkStart w:id="27" w:name="_Toc511124979"/>
      <w:r w:rsidRPr="00802F5B">
        <w:rPr>
          <w:rFonts w:cs="Arial"/>
          <w:szCs w:val="22"/>
        </w:rPr>
        <w:t>Management of Contracts</w:t>
      </w:r>
      <w:bookmarkEnd w:id="27"/>
    </w:p>
    <w:p w:rsidR="00A33930" w:rsidRPr="00A33930" w:rsidRDefault="00A33930" w:rsidP="00802F5B">
      <w:pPr>
        <w:pStyle w:val="TableSubBullet"/>
        <w:numPr>
          <w:ilvl w:val="0"/>
          <w:numId w:val="0"/>
        </w:numPr>
        <w:spacing w:after="0"/>
        <w:jc w:val="both"/>
        <w:rPr>
          <w:rFonts w:ascii="Trebuchet MS" w:hAnsi="Trebuchet MS"/>
        </w:rPr>
      </w:pPr>
      <w:r w:rsidRPr="00A33930">
        <w:rPr>
          <w:rFonts w:ascii="Trebuchet MS" w:hAnsi="Trebuchet MS"/>
        </w:rPr>
        <w:t xml:space="preserve">For ongoing contracts (particularly services contracts), it’s important to hold regular contract management meetings to: </w:t>
      </w:r>
    </w:p>
    <w:p w:rsidR="00A33930" w:rsidRPr="00A33930" w:rsidRDefault="00A33930" w:rsidP="00802F5B">
      <w:pPr>
        <w:pStyle w:val="TableSubBullet"/>
        <w:numPr>
          <w:ilvl w:val="0"/>
          <w:numId w:val="16"/>
        </w:numPr>
        <w:spacing w:after="0"/>
        <w:jc w:val="both"/>
        <w:rPr>
          <w:rFonts w:ascii="Trebuchet MS" w:hAnsi="Trebuchet MS"/>
        </w:rPr>
      </w:pPr>
      <w:r w:rsidRPr="00A33930">
        <w:rPr>
          <w:rFonts w:ascii="Trebuchet MS" w:hAnsi="Trebuchet MS"/>
        </w:rPr>
        <w:t>make sure both parties involved in the contract understand their responsibilities and fulfil them as effectively as possible</w:t>
      </w:r>
    </w:p>
    <w:p w:rsidR="00A33930" w:rsidRPr="00A33930" w:rsidRDefault="00A33930" w:rsidP="00802F5B">
      <w:pPr>
        <w:pStyle w:val="TableSubBullet"/>
        <w:numPr>
          <w:ilvl w:val="0"/>
          <w:numId w:val="16"/>
        </w:numPr>
        <w:spacing w:after="0"/>
        <w:jc w:val="both"/>
        <w:rPr>
          <w:rFonts w:ascii="Trebuchet MS" w:hAnsi="Trebuchet MS"/>
        </w:rPr>
      </w:pPr>
      <w:r w:rsidRPr="00A33930">
        <w:rPr>
          <w:rFonts w:ascii="Trebuchet MS" w:hAnsi="Trebuchet MS"/>
        </w:rPr>
        <w:t>check progress against contract requirements and deal with any issues preventing those requirements from happening</w:t>
      </w:r>
    </w:p>
    <w:p w:rsidR="00A33930" w:rsidRDefault="00A33930" w:rsidP="00A33930">
      <w:pPr>
        <w:pStyle w:val="TableSubBullet"/>
        <w:numPr>
          <w:ilvl w:val="0"/>
          <w:numId w:val="0"/>
        </w:numPr>
        <w:spacing w:after="0"/>
        <w:rPr>
          <w:rFonts w:ascii="Trebuchet MS" w:hAnsi="Trebuchet MS"/>
        </w:rPr>
      </w:pPr>
    </w:p>
    <w:p w:rsidR="007C273F" w:rsidRDefault="006C3F63" w:rsidP="00802F5B">
      <w:pPr>
        <w:pStyle w:val="TableSubBullet"/>
        <w:numPr>
          <w:ilvl w:val="0"/>
          <w:numId w:val="0"/>
        </w:numPr>
        <w:spacing w:after="0"/>
        <w:jc w:val="both"/>
        <w:rPr>
          <w:rFonts w:ascii="Trebuchet MS" w:hAnsi="Trebuchet MS"/>
        </w:rPr>
      </w:pPr>
      <w:r>
        <w:rPr>
          <w:rFonts w:ascii="Trebuchet MS" w:hAnsi="Trebuchet MS"/>
        </w:rPr>
        <w:t>It should be agreed</w:t>
      </w:r>
      <w:r w:rsidR="00A33930" w:rsidRPr="00A33930">
        <w:rPr>
          <w:rFonts w:ascii="Trebuchet MS" w:hAnsi="Trebuchet MS"/>
        </w:rPr>
        <w:t xml:space="preserve"> as soon as possible after awarding the contract who should attend these meetings and what the agenda items are likely to be. </w:t>
      </w:r>
    </w:p>
    <w:p w:rsidR="007C273F" w:rsidRDefault="007C273F" w:rsidP="00802F5B">
      <w:pPr>
        <w:pStyle w:val="TableSubBullet"/>
        <w:numPr>
          <w:ilvl w:val="0"/>
          <w:numId w:val="0"/>
        </w:numPr>
        <w:spacing w:after="0"/>
        <w:jc w:val="both"/>
        <w:rPr>
          <w:rFonts w:ascii="Trebuchet MS" w:hAnsi="Trebuchet MS"/>
        </w:rPr>
      </w:pPr>
    </w:p>
    <w:p w:rsidR="00A33930" w:rsidRPr="00A33930" w:rsidRDefault="00A33930" w:rsidP="00802F5B">
      <w:pPr>
        <w:pStyle w:val="TableSubBullet"/>
        <w:numPr>
          <w:ilvl w:val="0"/>
          <w:numId w:val="0"/>
        </w:numPr>
        <w:spacing w:after="0"/>
        <w:jc w:val="both"/>
        <w:rPr>
          <w:rFonts w:ascii="Trebuchet MS" w:hAnsi="Trebuchet MS"/>
        </w:rPr>
      </w:pPr>
      <w:r w:rsidRPr="00A33930">
        <w:rPr>
          <w:rFonts w:ascii="Trebuchet MS" w:hAnsi="Trebuchet MS"/>
        </w:rPr>
        <w:t>In the meetings following</w:t>
      </w:r>
      <w:r>
        <w:rPr>
          <w:rFonts w:ascii="Trebuchet MS" w:hAnsi="Trebuchet MS"/>
        </w:rPr>
        <w:t xml:space="preserve"> may be discussed</w:t>
      </w:r>
      <w:r w:rsidRPr="00A33930">
        <w:rPr>
          <w:rFonts w:ascii="Trebuchet MS" w:hAnsi="Trebuchet MS"/>
        </w:rPr>
        <w:t>:</w:t>
      </w:r>
    </w:p>
    <w:p w:rsidR="00A33930" w:rsidRP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progress against the contract’s requirements</w:t>
      </w:r>
    </w:p>
    <w:p w:rsid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 xml:space="preserve">the service-level agreement (the standards of service agreed with </w:t>
      </w:r>
      <w:r>
        <w:rPr>
          <w:rFonts w:ascii="Trebuchet MS" w:hAnsi="Trebuchet MS"/>
        </w:rPr>
        <w:t>the</w:t>
      </w:r>
      <w:r w:rsidRPr="00A33930">
        <w:rPr>
          <w:rFonts w:ascii="Trebuchet MS" w:hAnsi="Trebuchet MS"/>
        </w:rPr>
        <w:t xml:space="preserve"> supplier)</w:t>
      </w:r>
    </w:p>
    <w:p w:rsidR="00A33930" w:rsidRP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any key performance indicators (how the performance of that service</w:t>
      </w:r>
      <w:r>
        <w:rPr>
          <w:rFonts w:ascii="Trebuchet MS" w:hAnsi="Trebuchet MS"/>
        </w:rPr>
        <w:t xml:space="preserve"> is measured)</w:t>
      </w:r>
    </w:p>
    <w:p w:rsidR="00A33930" w:rsidRP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identifying areas of concern as early as possible and what the supplier will do about them</w:t>
      </w:r>
    </w:p>
    <w:p w:rsidR="00A33930" w:rsidRP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discussing necessary changes</w:t>
      </w:r>
    </w:p>
    <w:p w:rsidR="00A33930" w:rsidRP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how to manage planned maintenance</w:t>
      </w:r>
    </w:p>
    <w:p w:rsidR="00A33930" w:rsidRP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possible upgrades or improvements to the product or service</w:t>
      </w:r>
    </w:p>
    <w:p w:rsidR="00A33930" w:rsidRDefault="00A33930" w:rsidP="00802F5B">
      <w:pPr>
        <w:pStyle w:val="TableSubBullet"/>
        <w:numPr>
          <w:ilvl w:val="0"/>
          <w:numId w:val="17"/>
        </w:numPr>
        <w:spacing w:after="0"/>
        <w:jc w:val="both"/>
        <w:rPr>
          <w:rFonts w:ascii="Trebuchet MS" w:hAnsi="Trebuchet MS"/>
        </w:rPr>
      </w:pPr>
      <w:r w:rsidRPr="00A33930">
        <w:rPr>
          <w:rFonts w:ascii="Trebuchet MS" w:hAnsi="Trebuchet MS"/>
        </w:rPr>
        <w:t>unforeseen problems and what to do about them</w:t>
      </w:r>
    </w:p>
    <w:p w:rsidR="00B33B68" w:rsidRPr="00A33930" w:rsidRDefault="00B33B68" w:rsidP="00802F5B">
      <w:pPr>
        <w:pStyle w:val="TableSubBullet"/>
        <w:numPr>
          <w:ilvl w:val="0"/>
          <w:numId w:val="17"/>
        </w:numPr>
        <w:spacing w:after="0"/>
        <w:jc w:val="both"/>
        <w:rPr>
          <w:rFonts w:ascii="Trebuchet MS" w:hAnsi="Trebuchet MS"/>
        </w:rPr>
      </w:pPr>
      <w:r>
        <w:rPr>
          <w:rFonts w:ascii="Trebuchet MS" w:hAnsi="Trebuchet MS"/>
        </w:rPr>
        <w:t>exit from the contract if not fulfilling requirements</w:t>
      </w:r>
    </w:p>
    <w:p w:rsidR="00A33930" w:rsidRDefault="00A33930" w:rsidP="00802F5B">
      <w:pPr>
        <w:pStyle w:val="TableSubBullet"/>
        <w:numPr>
          <w:ilvl w:val="0"/>
          <w:numId w:val="0"/>
        </w:numPr>
        <w:spacing w:after="0"/>
        <w:jc w:val="both"/>
        <w:rPr>
          <w:rFonts w:ascii="Trebuchet MS" w:hAnsi="Trebuchet MS"/>
        </w:rPr>
      </w:pPr>
    </w:p>
    <w:p w:rsidR="00A33930" w:rsidRDefault="00A33930" w:rsidP="00802F5B">
      <w:pPr>
        <w:pStyle w:val="TableSubBullet"/>
        <w:numPr>
          <w:ilvl w:val="0"/>
          <w:numId w:val="0"/>
        </w:numPr>
        <w:spacing w:after="0"/>
        <w:jc w:val="both"/>
        <w:rPr>
          <w:rFonts w:ascii="Trebuchet MS" w:hAnsi="Trebuchet MS"/>
        </w:rPr>
      </w:pPr>
      <w:r>
        <w:rPr>
          <w:rFonts w:ascii="Trebuchet MS" w:hAnsi="Trebuchet MS"/>
        </w:rPr>
        <w:t>Any</w:t>
      </w:r>
      <w:r w:rsidRPr="00A33930">
        <w:rPr>
          <w:rFonts w:ascii="Trebuchet MS" w:hAnsi="Trebuchet MS"/>
        </w:rPr>
        <w:t xml:space="preserve"> actions and timescales agree</w:t>
      </w:r>
      <w:r>
        <w:rPr>
          <w:rFonts w:ascii="Trebuchet MS" w:hAnsi="Trebuchet MS"/>
        </w:rPr>
        <w:t>d</w:t>
      </w:r>
      <w:r w:rsidRPr="00A33930">
        <w:rPr>
          <w:rFonts w:ascii="Trebuchet MS" w:hAnsi="Trebuchet MS"/>
        </w:rPr>
        <w:t xml:space="preserve"> with the supplier</w:t>
      </w:r>
      <w:r>
        <w:rPr>
          <w:rFonts w:ascii="Trebuchet MS" w:hAnsi="Trebuchet MS"/>
        </w:rPr>
        <w:t xml:space="preserve"> should be noted and circulated </w:t>
      </w:r>
      <w:r w:rsidRPr="00A33930">
        <w:rPr>
          <w:rFonts w:ascii="Trebuchet MS" w:hAnsi="Trebuchet MS"/>
        </w:rPr>
        <w:t xml:space="preserve">promptly after the meeting. If the supplier isn’t doing enough to address poor performance, the matter may need to </w:t>
      </w:r>
      <w:r>
        <w:rPr>
          <w:rFonts w:ascii="Trebuchet MS" w:hAnsi="Trebuchet MS"/>
        </w:rPr>
        <w:t xml:space="preserve">be </w:t>
      </w:r>
      <w:r w:rsidRPr="00A33930">
        <w:rPr>
          <w:rFonts w:ascii="Trebuchet MS" w:hAnsi="Trebuchet MS"/>
        </w:rPr>
        <w:t>escalate</w:t>
      </w:r>
      <w:r>
        <w:rPr>
          <w:rFonts w:ascii="Trebuchet MS" w:hAnsi="Trebuchet MS"/>
        </w:rPr>
        <w:t>d</w:t>
      </w:r>
      <w:r w:rsidRPr="00A33930">
        <w:rPr>
          <w:rFonts w:ascii="Trebuchet MS" w:hAnsi="Trebuchet MS"/>
        </w:rPr>
        <w:t xml:space="preserve"> according to </w:t>
      </w:r>
      <w:r>
        <w:rPr>
          <w:rFonts w:ascii="Trebuchet MS" w:hAnsi="Trebuchet MS"/>
        </w:rPr>
        <w:t>the</w:t>
      </w:r>
      <w:r w:rsidRPr="00A33930">
        <w:rPr>
          <w:rFonts w:ascii="Trebuchet MS" w:hAnsi="Trebuchet MS"/>
        </w:rPr>
        <w:t xml:space="preserve"> contract terms and conditions. </w:t>
      </w:r>
    </w:p>
    <w:p w:rsidR="004F232E" w:rsidRDefault="004F232E" w:rsidP="00A33930">
      <w:pPr>
        <w:pStyle w:val="TableSubBullet"/>
        <w:numPr>
          <w:ilvl w:val="0"/>
          <w:numId w:val="0"/>
        </w:numPr>
        <w:spacing w:after="0"/>
        <w:rPr>
          <w:rFonts w:ascii="Trebuchet MS" w:hAnsi="Trebuchet MS"/>
        </w:rPr>
      </w:pPr>
    </w:p>
    <w:p w:rsidR="004F232E" w:rsidRPr="00802F5B" w:rsidRDefault="004F232E" w:rsidP="00C64434">
      <w:pPr>
        <w:pStyle w:val="Heading1"/>
        <w:numPr>
          <w:ilvl w:val="0"/>
          <w:numId w:val="2"/>
        </w:numPr>
        <w:spacing w:before="0" w:after="100" w:afterAutospacing="1"/>
        <w:ind w:left="567" w:hanging="567"/>
        <w:rPr>
          <w:rFonts w:cs="Arial"/>
          <w:szCs w:val="22"/>
        </w:rPr>
      </w:pPr>
      <w:r w:rsidRPr="00802F5B">
        <w:rPr>
          <w:rFonts w:cs="Arial"/>
          <w:szCs w:val="22"/>
        </w:rPr>
        <w:t xml:space="preserve">  </w:t>
      </w:r>
      <w:bookmarkStart w:id="28" w:name="_Toc511124980"/>
      <w:r w:rsidRPr="00802F5B">
        <w:rPr>
          <w:rFonts w:cs="Arial"/>
          <w:szCs w:val="22"/>
        </w:rPr>
        <w:t>Contract Variations or Extensions</w:t>
      </w:r>
      <w:bookmarkEnd w:id="28"/>
    </w:p>
    <w:p w:rsidR="004F232E" w:rsidRDefault="004F232E" w:rsidP="00802F5B">
      <w:pPr>
        <w:pStyle w:val="TableSubBullet"/>
        <w:numPr>
          <w:ilvl w:val="0"/>
          <w:numId w:val="0"/>
        </w:numPr>
        <w:jc w:val="both"/>
        <w:rPr>
          <w:rFonts w:ascii="Trebuchet MS" w:hAnsi="Trebuchet MS"/>
        </w:rPr>
      </w:pPr>
      <w:r>
        <w:rPr>
          <w:rFonts w:ascii="Trebuchet MS" w:hAnsi="Trebuchet MS"/>
        </w:rPr>
        <w:t>Any changes to a contract should be made using a variation agreement. Such variations must be agreed with the supplier. The most common variation is to extend the contract.</w:t>
      </w:r>
    </w:p>
    <w:p w:rsidR="004F232E" w:rsidRDefault="004F232E" w:rsidP="00802F5B">
      <w:pPr>
        <w:pStyle w:val="TableSubBullet"/>
        <w:numPr>
          <w:ilvl w:val="0"/>
          <w:numId w:val="0"/>
        </w:numPr>
        <w:jc w:val="both"/>
        <w:rPr>
          <w:rFonts w:ascii="Trebuchet MS" w:hAnsi="Trebuchet MS"/>
        </w:rPr>
      </w:pPr>
      <w:r>
        <w:rPr>
          <w:rFonts w:ascii="Trebuchet MS" w:hAnsi="Trebuchet MS"/>
        </w:rPr>
        <w:t>The contracts register details the date when each contract comes to an end. Preparation to let a new contract should be made in good time as the procurement process can be lengthy. Contracts may be extended if necessary. If the original contract is under the EU threshold the contract can be extended by up to 50% of its original length. If over the EU threshold then ideally a new procurement process must be entered into. The contract can be extended for a short period of time to enable the new procurement to be completed.</w:t>
      </w:r>
    </w:p>
    <w:p w:rsidR="004F232E" w:rsidRDefault="004F232E">
      <w:pPr>
        <w:rPr>
          <w:rFonts w:ascii="Trebuchet MS" w:hAnsi="Trebuchet MS"/>
        </w:rPr>
      </w:pPr>
      <w:r>
        <w:rPr>
          <w:rFonts w:ascii="Trebuchet MS" w:hAnsi="Trebuchet MS"/>
        </w:rPr>
        <w:br w:type="page"/>
      </w:r>
    </w:p>
    <w:p w:rsidR="00911E07" w:rsidRPr="00911E07" w:rsidRDefault="00911E07" w:rsidP="00802F5B">
      <w:pPr>
        <w:pStyle w:val="Heading2"/>
        <w:numPr>
          <w:ilvl w:val="0"/>
          <w:numId w:val="0"/>
        </w:numPr>
        <w:ind w:left="576" w:hanging="576"/>
      </w:pPr>
      <w:bookmarkStart w:id="29" w:name="_Toc511124981"/>
      <w:r w:rsidRPr="00911E07">
        <w:t>Appendix 1 – Stages of a tender process</w:t>
      </w:r>
      <w:bookmarkEnd w:id="29"/>
    </w:p>
    <w:p w:rsidR="00911E07" w:rsidRDefault="00911E07" w:rsidP="00911E07">
      <w:pPr>
        <w:pStyle w:val="TableSubBullet"/>
        <w:numPr>
          <w:ilvl w:val="0"/>
          <w:numId w:val="0"/>
        </w:numPr>
        <w:spacing w:after="0"/>
        <w:ind w:left="360" w:hanging="360"/>
        <w:rPr>
          <w:rFonts w:ascii="Trebuchet MS" w:hAnsi="Trebuchet MS"/>
          <w:b/>
        </w:rPr>
      </w:pPr>
    </w:p>
    <w:p w:rsidR="00911E07" w:rsidRDefault="00911E07" w:rsidP="00911E07">
      <w:pPr>
        <w:pStyle w:val="TableSubBullet"/>
        <w:numPr>
          <w:ilvl w:val="0"/>
          <w:numId w:val="0"/>
        </w:numPr>
        <w:spacing w:after="0"/>
        <w:ind w:left="360" w:hanging="360"/>
        <w:rPr>
          <w:rFonts w:ascii="Trebuchet MS" w:hAnsi="Trebuchet MS"/>
          <w:b/>
        </w:rPr>
      </w:pPr>
      <w:r>
        <w:rPr>
          <w:rFonts w:ascii="Trebuchet MS" w:hAnsi="Trebuchet MS"/>
          <w:b/>
        </w:rPr>
        <w:t>Invitation to Tender</w:t>
      </w:r>
    </w:p>
    <w:p w:rsidR="00911E07" w:rsidRDefault="00911E07" w:rsidP="00911E07">
      <w:pPr>
        <w:pStyle w:val="TableSubBullet"/>
        <w:numPr>
          <w:ilvl w:val="0"/>
          <w:numId w:val="0"/>
        </w:numPr>
        <w:spacing w:after="0"/>
        <w:ind w:left="360" w:hanging="360"/>
        <w:rPr>
          <w:rFonts w:ascii="Trebuchet MS" w:hAnsi="Trebuchet MS"/>
          <w:b/>
        </w:rPr>
      </w:pPr>
    </w:p>
    <w:p w:rsidR="00911E07" w:rsidRDefault="00911E07" w:rsidP="00802F5B">
      <w:pPr>
        <w:pStyle w:val="TableSubBullet"/>
        <w:numPr>
          <w:ilvl w:val="0"/>
          <w:numId w:val="0"/>
        </w:numPr>
        <w:spacing w:after="0"/>
        <w:jc w:val="both"/>
        <w:rPr>
          <w:rFonts w:ascii="Trebuchet MS" w:hAnsi="Trebuchet MS"/>
        </w:rPr>
      </w:pPr>
      <w:r w:rsidRPr="00911E07">
        <w:rPr>
          <w:rFonts w:ascii="Trebuchet MS" w:hAnsi="Trebuchet MS"/>
        </w:rPr>
        <w:t>An invitation to tender should give potential suppliers all the information</w:t>
      </w:r>
      <w:r>
        <w:rPr>
          <w:rFonts w:ascii="Trebuchet MS" w:hAnsi="Trebuchet MS"/>
        </w:rPr>
        <w:t xml:space="preserve"> they need to bid for the work. Suggested contents are:</w:t>
      </w:r>
    </w:p>
    <w:p w:rsid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an introduction about the school and/ or the trust</w:t>
      </w:r>
    </w:p>
    <w:p w:rsidR="00911E07" w:rsidRP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sidRPr="00911E07">
        <w:rPr>
          <w:rFonts w:ascii="Trebuchet MS" w:hAnsi="Trebuchet MS"/>
        </w:rPr>
        <w:t xml:space="preserve">a precise description of the goods, works or services </w:t>
      </w:r>
      <w:r>
        <w:rPr>
          <w:rFonts w:ascii="Trebuchet MS" w:hAnsi="Trebuchet MS"/>
        </w:rPr>
        <w:t>required</w:t>
      </w:r>
    </w:p>
    <w:p w:rsidR="00911E07" w:rsidRP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sidRPr="00911E07">
        <w:rPr>
          <w:rFonts w:ascii="Trebuchet MS" w:hAnsi="Trebuchet MS"/>
        </w:rPr>
        <w:t xml:space="preserve">if appropriate, an explanation of what the goods, works or services should do to meet </w:t>
      </w:r>
      <w:r>
        <w:rPr>
          <w:rFonts w:ascii="Trebuchet MS" w:hAnsi="Trebuchet MS"/>
        </w:rPr>
        <w:t>the requirements</w:t>
      </w:r>
      <w:r w:rsidRPr="00911E07">
        <w:rPr>
          <w:rFonts w:ascii="Trebuchet MS" w:hAnsi="Trebuchet MS"/>
        </w:rPr>
        <w:t xml:space="preserve"> (sometimes known as an ‘output specification’)</w:t>
      </w:r>
    </w:p>
    <w:p w:rsidR="00911E07" w:rsidRP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sidRPr="00911E07">
        <w:rPr>
          <w:rFonts w:ascii="Trebuchet MS" w:hAnsi="Trebuchet MS"/>
        </w:rPr>
        <w:t>the quantity</w:t>
      </w:r>
    </w:p>
    <w:p w:rsid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sidRPr="00911E07">
        <w:rPr>
          <w:rFonts w:ascii="Trebuchet MS" w:hAnsi="Trebuchet MS"/>
        </w:rPr>
        <w:t>the quality</w:t>
      </w:r>
    </w:p>
    <w:p w:rsidR="00911E07" w:rsidRP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the length of the contract</w:t>
      </w:r>
    </w:p>
    <w:p w:rsid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sidRPr="00911E07">
        <w:rPr>
          <w:rFonts w:ascii="Trebuchet MS" w:hAnsi="Trebuchet MS"/>
        </w:rPr>
        <w:t>when you want the supplier to deliver it by</w:t>
      </w:r>
    </w:p>
    <w:p w:rsidR="00AB34ED" w:rsidRDefault="00AB34ED"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data sharing requirements under GDPR</w:t>
      </w:r>
    </w:p>
    <w:p w:rsid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d</w:t>
      </w:r>
      <w:r w:rsidRPr="00911E07">
        <w:rPr>
          <w:rFonts w:ascii="Trebuchet MS" w:hAnsi="Trebuchet MS"/>
        </w:rPr>
        <w:t>etails of the implementation of the project</w:t>
      </w:r>
    </w:p>
    <w:p w:rsidR="00643B60" w:rsidRDefault="00643B60"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The KPIs that will measure performance of the contract</w:t>
      </w:r>
    </w:p>
    <w:p w:rsid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t</w:t>
      </w:r>
      <w:r w:rsidRPr="00911E07">
        <w:rPr>
          <w:rFonts w:ascii="Trebuchet MS" w:hAnsi="Trebuchet MS"/>
        </w:rPr>
        <w:t>he terms and conditions of the contract</w:t>
      </w:r>
    </w:p>
    <w:p w:rsid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T</w:t>
      </w:r>
      <w:r w:rsidRPr="00911E07">
        <w:rPr>
          <w:rFonts w:ascii="Trebuchet MS" w:hAnsi="Trebuchet MS"/>
        </w:rPr>
        <w:t>UPE information if relevant</w:t>
      </w:r>
    </w:p>
    <w:p w:rsid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the criteria by which tenders will be evaluated</w:t>
      </w:r>
      <w:r w:rsidR="00A7776A">
        <w:rPr>
          <w:rFonts w:ascii="Trebuchet MS" w:hAnsi="Trebuchet MS"/>
        </w:rPr>
        <w:t xml:space="preserve"> including information on how the various criteria will be weighted</w:t>
      </w:r>
    </w:p>
    <w:p w:rsidR="00911E07" w:rsidRP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precise information about how the tender should be submitted and the closing date</w:t>
      </w:r>
    </w:p>
    <w:p w:rsidR="00911E07" w:rsidRPr="00911E07" w:rsidRDefault="00911E07" w:rsidP="00802F5B">
      <w:pPr>
        <w:numPr>
          <w:ilvl w:val="0"/>
          <w:numId w:val="9"/>
        </w:numPr>
        <w:spacing w:before="100" w:beforeAutospacing="1" w:after="100" w:afterAutospacing="1" w:line="240" w:lineRule="auto"/>
        <w:ind w:left="714" w:hanging="357"/>
        <w:jc w:val="both"/>
        <w:rPr>
          <w:rFonts w:ascii="Trebuchet MS" w:hAnsi="Trebuchet MS"/>
        </w:rPr>
      </w:pPr>
      <w:r>
        <w:rPr>
          <w:rFonts w:ascii="Trebuchet MS" w:hAnsi="Trebuchet MS"/>
        </w:rPr>
        <w:t>a</w:t>
      </w:r>
      <w:r w:rsidRPr="00911E07">
        <w:rPr>
          <w:rFonts w:ascii="Trebuchet MS" w:hAnsi="Trebuchet MS"/>
        </w:rPr>
        <w:t xml:space="preserve"> form of response</w:t>
      </w:r>
    </w:p>
    <w:p w:rsidR="00911E07" w:rsidRDefault="00A7776A" w:rsidP="00911E07">
      <w:pPr>
        <w:pStyle w:val="TableSubBullet"/>
        <w:numPr>
          <w:ilvl w:val="0"/>
          <w:numId w:val="0"/>
        </w:numPr>
        <w:spacing w:after="0"/>
        <w:ind w:left="360" w:hanging="360"/>
        <w:rPr>
          <w:rFonts w:ascii="Trebuchet MS" w:hAnsi="Trebuchet MS"/>
          <w:b/>
        </w:rPr>
      </w:pPr>
      <w:r w:rsidRPr="00A7776A">
        <w:rPr>
          <w:rFonts w:ascii="Trebuchet MS" w:hAnsi="Trebuchet MS"/>
          <w:b/>
        </w:rPr>
        <w:t>Advertise a</w:t>
      </w:r>
      <w:r>
        <w:rPr>
          <w:rFonts w:ascii="Trebuchet MS" w:hAnsi="Trebuchet MS"/>
          <w:b/>
        </w:rPr>
        <w:t>n</w:t>
      </w:r>
      <w:r w:rsidRPr="00A7776A">
        <w:rPr>
          <w:rFonts w:ascii="Trebuchet MS" w:hAnsi="Trebuchet MS"/>
          <w:b/>
        </w:rPr>
        <w:t xml:space="preserve"> open tender</w:t>
      </w:r>
    </w:p>
    <w:p w:rsidR="00A7776A" w:rsidRDefault="00A7776A" w:rsidP="00911E07">
      <w:pPr>
        <w:pStyle w:val="TableSubBullet"/>
        <w:numPr>
          <w:ilvl w:val="0"/>
          <w:numId w:val="0"/>
        </w:numPr>
        <w:spacing w:after="0"/>
        <w:ind w:left="360" w:hanging="360"/>
        <w:rPr>
          <w:rFonts w:ascii="Trebuchet MS" w:hAnsi="Trebuchet MS"/>
          <w:b/>
        </w:rPr>
      </w:pPr>
    </w:p>
    <w:p w:rsidR="00A7776A" w:rsidRDefault="00A7776A" w:rsidP="00802F5B">
      <w:pPr>
        <w:pStyle w:val="TableSubBullet"/>
        <w:numPr>
          <w:ilvl w:val="0"/>
          <w:numId w:val="0"/>
        </w:numPr>
        <w:spacing w:after="0"/>
        <w:jc w:val="both"/>
        <w:rPr>
          <w:rFonts w:ascii="Trebuchet MS" w:hAnsi="Trebuchet MS"/>
        </w:rPr>
      </w:pPr>
      <w:r w:rsidRPr="00A7776A">
        <w:rPr>
          <w:rFonts w:ascii="Trebuchet MS" w:hAnsi="Trebuchet MS"/>
        </w:rPr>
        <w:t>Advertisements are placed in trade journals, websites and on the trust and/ or school website</w:t>
      </w:r>
      <w:r>
        <w:rPr>
          <w:rFonts w:ascii="Trebuchet MS" w:hAnsi="Trebuchet MS"/>
        </w:rPr>
        <w:t xml:space="preserve"> to invite interested suppliers to make contact</w:t>
      </w:r>
      <w:r w:rsidR="00FB609E">
        <w:rPr>
          <w:rFonts w:ascii="Trebuchet MS" w:hAnsi="Trebuchet MS"/>
        </w:rPr>
        <w:t xml:space="preserve"> and tender. Open tender is considered to be the most open and competitive method for receiving tenders. The decision as to where to advertise should be taken on a case by case basis and should be proportionate and reasonable with the aim to elicit a good response from qualified suppliers. A sensible amount of time should be left from the advert for interested parties to respond.</w:t>
      </w:r>
    </w:p>
    <w:p w:rsidR="004F5E65" w:rsidRDefault="004F5E65" w:rsidP="00FB609E">
      <w:pPr>
        <w:pStyle w:val="TableSubBullet"/>
        <w:numPr>
          <w:ilvl w:val="0"/>
          <w:numId w:val="0"/>
        </w:numPr>
        <w:spacing w:after="0"/>
        <w:rPr>
          <w:rFonts w:ascii="Trebuchet MS" w:hAnsi="Trebuchet MS"/>
        </w:rPr>
      </w:pPr>
    </w:p>
    <w:p w:rsidR="004F5E65" w:rsidRDefault="004F5E65" w:rsidP="00FB609E">
      <w:pPr>
        <w:pStyle w:val="TableSubBullet"/>
        <w:numPr>
          <w:ilvl w:val="0"/>
          <w:numId w:val="0"/>
        </w:numPr>
        <w:spacing w:after="0"/>
        <w:rPr>
          <w:rFonts w:ascii="Trebuchet MS" w:hAnsi="Trebuchet MS"/>
          <w:b/>
        </w:rPr>
      </w:pPr>
      <w:r w:rsidRPr="004F5E65">
        <w:rPr>
          <w:rFonts w:ascii="Trebuchet MS" w:hAnsi="Trebuchet MS"/>
          <w:b/>
        </w:rPr>
        <w:t>A restricted tender</w:t>
      </w:r>
    </w:p>
    <w:p w:rsidR="004F5E65" w:rsidRPr="004F5E65" w:rsidRDefault="004F5E65" w:rsidP="00FB609E">
      <w:pPr>
        <w:pStyle w:val="TableSubBullet"/>
        <w:numPr>
          <w:ilvl w:val="0"/>
          <w:numId w:val="0"/>
        </w:numPr>
        <w:spacing w:after="0"/>
        <w:rPr>
          <w:rFonts w:ascii="Trebuchet MS" w:hAnsi="Trebuchet MS"/>
        </w:rPr>
      </w:pPr>
    </w:p>
    <w:p w:rsidR="004F5E65" w:rsidRDefault="004F5E65" w:rsidP="00802F5B">
      <w:pPr>
        <w:pStyle w:val="TableSubBullet"/>
        <w:numPr>
          <w:ilvl w:val="0"/>
          <w:numId w:val="0"/>
        </w:numPr>
        <w:spacing w:after="0"/>
        <w:jc w:val="both"/>
        <w:rPr>
          <w:rFonts w:ascii="Trebuchet MS" w:hAnsi="Trebuchet MS"/>
        </w:rPr>
      </w:pPr>
      <w:r w:rsidRPr="004F5E65">
        <w:rPr>
          <w:rFonts w:ascii="Trebuchet MS" w:hAnsi="Trebuchet MS"/>
        </w:rPr>
        <w:t xml:space="preserve">Specific suppliers are identified and asked to bid by completing a tender. This method avoids the cost of advertisement </w:t>
      </w:r>
      <w:r>
        <w:rPr>
          <w:rFonts w:ascii="Trebuchet MS" w:hAnsi="Trebuchet MS"/>
        </w:rPr>
        <w:t>and can be useful where there are a limited number of specialist suppliers.</w:t>
      </w:r>
    </w:p>
    <w:p w:rsidR="004F5E65" w:rsidRDefault="004F5E65" w:rsidP="00FB609E">
      <w:pPr>
        <w:pStyle w:val="TableSubBullet"/>
        <w:numPr>
          <w:ilvl w:val="0"/>
          <w:numId w:val="0"/>
        </w:numPr>
        <w:spacing w:after="0"/>
        <w:rPr>
          <w:rFonts w:ascii="Trebuchet MS" w:hAnsi="Trebuchet MS"/>
        </w:rPr>
      </w:pPr>
    </w:p>
    <w:p w:rsidR="004F5E65" w:rsidRDefault="004F5E65" w:rsidP="00FB609E">
      <w:pPr>
        <w:pStyle w:val="TableSubBullet"/>
        <w:numPr>
          <w:ilvl w:val="0"/>
          <w:numId w:val="0"/>
        </w:numPr>
        <w:spacing w:after="0"/>
        <w:rPr>
          <w:rFonts w:ascii="Trebuchet MS" w:hAnsi="Trebuchet MS"/>
          <w:b/>
        </w:rPr>
      </w:pPr>
      <w:r w:rsidRPr="004F5E65">
        <w:rPr>
          <w:rFonts w:ascii="Trebuchet MS" w:hAnsi="Trebuchet MS"/>
          <w:b/>
        </w:rPr>
        <w:t>Acceptance of tenders</w:t>
      </w:r>
    </w:p>
    <w:p w:rsidR="004F5E65" w:rsidRDefault="004F5E65" w:rsidP="00FB609E">
      <w:pPr>
        <w:pStyle w:val="TableSubBullet"/>
        <w:numPr>
          <w:ilvl w:val="0"/>
          <w:numId w:val="0"/>
        </w:numPr>
        <w:spacing w:after="0"/>
        <w:rPr>
          <w:rFonts w:ascii="Trebuchet MS" w:hAnsi="Trebuchet MS"/>
          <w:b/>
        </w:rPr>
      </w:pPr>
    </w:p>
    <w:p w:rsidR="004F5E65" w:rsidRDefault="004F5E65" w:rsidP="00802F5B">
      <w:pPr>
        <w:pStyle w:val="TableSubBullet"/>
        <w:numPr>
          <w:ilvl w:val="0"/>
          <w:numId w:val="0"/>
        </w:numPr>
        <w:spacing w:after="0"/>
        <w:jc w:val="both"/>
        <w:rPr>
          <w:rFonts w:ascii="Trebuchet MS" w:hAnsi="Trebuchet MS"/>
        </w:rPr>
      </w:pPr>
      <w:r w:rsidRPr="004F5E65">
        <w:rPr>
          <w:rFonts w:ascii="Trebuchet MS" w:hAnsi="Trebuchet MS"/>
        </w:rPr>
        <w:t xml:space="preserve">Invitations for tender always state the date and time the completed tender documents are to be received. Suppliers are required to submit documents in </w:t>
      </w:r>
      <w:r>
        <w:rPr>
          <w:rFonts w:ascii="Trebuchet MS" w:hAnsi="Trebuchet MS"/>
        </w:rPr>
        <w:t>one of the following ways:</w:t>
      </w:r>
    </w:p>
    <w:p w:rsidR="004F5E65" w:rsidRDefault="004F5E65" w:rsidP="00802F5B">
      <w:pPr>
        <w:pStyle w:val="TableSubBullet"/>
        <w:numPr>
          <w:ilvl w:val="0"/>
          <w:numId w:val="11"/>
        </w:numPr>
        <w:spacing w:after="0"/>
        <w:jc w:val="both"/>
        <w:rPr>
          <w:rFonts w:ascii="Trebuchet MS" w:hAnsi="Trebuchet MS"/>
        </w:rPr>
      </w:pPr>
      <w:r>
        <w:rPr>
          <w:rFonts w:ascii="Trebuchet MS" w:hAnsi="Trebuchet MS"/>
        </w:rPr>
        <w:t xml:space="preserve">in </w:t>
      </w:r>
      <w:r w:rsidRPr="004F5E65">
        <w:rPr>
          <w:rFonts w:ascii="Trebuchet MS" w:hAnsi="Trebuchet MS"/>
        </w:rPr>
        <w:t>clearly marked envelopes, which state</w:t>
      </w:r>
      <w:r>
        <w:rPr>
          <w:rFonts w:ascii="Trebuchet MS" w:hAnsi="Trebuchet MS"/>
        </w:rPr>
        <w:t xml:space="preserve"> that they are tender documents.</w:t>
      </w:r>
    </w:p>
    <w:p w:rsidR="004F5E65" w:rsidRDefault="004F5E65" w:rsidP="00802F5B">
      <w:pPr>
        <w:pStyle w:val="TableSubBullet"/>
        <w:numPr>
          <w:ilvl w:val="0"/>
          <w:numId w:val="11"/>
        </w:numPr>
        <w:spacing w:after="0"/>
        <w:jc w:val="both"/>
        <w:rPr>
          <w:rFonts w:ascii="Trebuchet MS" w:hAnsi="Trebuchet MS"/>
        </w:rPr>
      </w:pPr>
      <w:r>
        <w:rPr>
          <w:rFonts w:ascii="Trebuchet MS" w:hAnsi="Trebuchet MS"/>
        </w:rPr>
        <w:t>By email to a designated email address; or</w:t>
      </w:r>
    </w:p>
    <w:p w:rsidR="004F5E65" w:rsidRDefault="004F5E65" w:rsidP="00802F5B">
      <w:pPr>
        <w:pStyle w:val="TableSubBullet"/>
        <w:numPr>
          <w:ilvl w:val="0"/>
          <w:numId w:val="11"/>
        </w:numPr>
        <w:spacing w:after="0"/>
        <w:jc w:val="both"/>
        <w:rPr>
          <w:rFonts w:ascii="Trebuchet MS" w:hAnsi="Trebuchet MS"/>
        </w:rPr>
      </w:pPr>
      <w:r>
        <w:rPr>
          <w:rFonts w:ascii="Trebuchet MS" w:hAnsi="Trebuchet MS"/>
        </w:rPr>
        <w:t xml:space="preserve">On </w:t>
      </w:r>
      <w:r w:rsidR="006C3F63">
        <w:rPr>
          <w:rFonts w:ascii="Trebuchet MS" w:hAnsi="Trebuchet MS"/>
        </w:rPr>
        <w:t>electronic storage media</w:t>
      </w:r>
      <w:r>
        <w:rPr>
          <w:rFonts w:ascii="Trebuchet MS" w:hAnsi="Trebuchet MS"/>
        </w:rPr>
        <w:t xml:space="preserve"> in a clearly marked envelope</w:t>
      </w:r>
      <w:r w:rsidR="00DF2458">
        <w:rPr>
          <w:rFonts w:ascii="Trebuchet MS" w:hAnsi="Trebuchet MS"/>
        </w:rPr>
        <w:t>; or</w:t>
      </w:r>
    </w:p>
    <w:p w:rsidR="00DF2458" w:rsidRPr="004F5E65" w:rsidRDefault="00DF2458" w:rsidP="00802F5B">
      <w:pPr>
        <w:pStyle w:val="TableSubBullet"/>
        <w:numPr>
          <w:ilvl w:val="0"/>
          <w:numId w:val="11"/>
        </w:numPr>
        <w:spacing w:after="0"/>
        <w:jc w:val="both"/>
        <w:rPr>
          <w:rFonts w:ascii="Trebuchet MS" w:hAnsi="Trebuchet MS"/>
        </w:rPr>
      </w:pPr>
      <w:r>
        <w:rPr>
          <w:rFonts w:ascii="Trebuchet MS" w:hAnsi="Trebuchet MS"/>
        </w:rPr>
        <w:t>On a secure electronic portal that can been secured at the end of the procurement period</w:t>
      </w:r>
    </w:p>
    <w:p w:rsidR="004F5E65" w:rsidRDefault="004F5E65" w:rsidP="00802F5B">
      <w:pPr>
        <w:pStyle w:val="TableSubBullet"/>
        <w:numPr>
          <w:ilvl w:val="0"/>
          <w:numId w:val="0"/>
        </w:numPr>
        <w:spacing w:after="0"/>
        <w:ind w:left="720"/>
        <w:jc w:val="both"/>
        <w:rPr>
          <w:rFonts w:ascii="Trebuchet MS" w:hAnsi="Trebuchet MS"/>
        </w:rPr>
      </w:pPr>
    </w:p>
    <w:p w:rsidR="004F5E65" w:rsidRPr="004F5E65" w:rsidRDefault="004F5E65" w:rsidP="00802F5B">
      <w:pPr>
        <w:pStyle w:val="TableSubBullet"/>
        <w:numPr>
          <w:ilvl w:val="0"/>
          <w:numId w:val="0"/>
        </w:numPr>
        <w:spacing w:after="0"/>
        <w:jc w:val="both"/>
        <w:rPr>
          <w:rFonts w:ascii="Trebuchet MS" w:hAnsi="Trebuchet MS"/>
        </w:rPr>
      </w:pPr>
      <w:r w:rsidRPr="004F5E65">
        <w:rPr>
          <w:rFonts w:ascii="Trebuchet MS" w:hAnsi="Trebuchet MS"/>
        </w:rPr>
        <w:t xml:space="preserve">All </w:t>
      </w:r>
      <w:r>
        <w:rPr>
          <w:rFonts w:ascii="Trebuchet MS" w:hAnsi="Trebuchet MS"/>
        </w:rPr>
        <w:t>tenders</w:t>
      </w:r>
      <w:r w:rsidRPr="004F5E65">
        <w:rPr>
          <w:rFonts w:ascii="Trebuchet MS" w:hAnsi="Trebuchet MS"/>
        </w:rPr>
        <w:t xml:space="preserve"> are clearly marked upon arrival and securely stored.</w:t>
      </w:r>
      <w:r>
        <w:rPr>
          <w:rFonts w:ascii="Trebuchet MS" w:hAnsi="Trebuchet MS"/>
        </w:rPr>
        <w:t xml:space="preserve"> </w:t>
      </w:r>
      <w:r w:rsidRPr="004F5E65">
        <w:rPr>
          <w:rFonts w:ascii="Trebuchet MS" w:hAnsi="Trebuchet MS"/>
        </w:rPr>
        <w:t>Tender documents received after deadlines are not considered, unless the supplier provides proof of exceptional circumstances.</w:t>
      </w:r>
    </w:p>
    <w:p w:rsidR="004F5E65" w:rsidRDefault="004F5E65" w:rsidP="00FB609E">
      <w:pPr>
        <w:pStyle w:val="TableSubBullet"/>
        <w:numPr>
          <w:ilvl w:val="0"/>
          <w:numId w:val="0"/>
        </w:numPr>
        <w:spacing w:after="0"/>
        <w:rPr>
          <w:rFonts w:ascii="Trebuchet MS" w:hAnsi="Trebuchet MS"/>
          <w:b/>
        </w:rPr>
      </w:pPr>
    </w:p>
    <w:p w:rsidR="004F5E65" w:rsidRDefault="004F5E65" w:rsidP="00FB609E">
      <w:pPr>
        <w:pStyle w:val="TableSubBullet"/>
        <w:numPr>
          <w:ilvl w:val="0"/>
          <w:numId w:val="0"/>
        </w:numPr>
        <w:spacing w:after="0"/>
        <w:rPr>
          <w:rFonts w:ascii="Trebuchet MS" w:hAnsi="Trebuchet MS"/>
          <w:b/>
        </w:rPr>
      </w:pPr>
      <w:r>
        <w:rPr>
          <w:rFonts w:ascii="Trebuchet MS" w:hAnsi="Trebuchet MS"/>
          <w:b/>
        </w:rPr>
        <w:t>Opening of tenders</w:t>
      </w:r>
    </w:p>
    <w:p w:rsidR="004F5E65" w:rsidRDefault="004F5E65" w:rsidP="00FB609E">
      <w:pPr>
        <w:pStyle w:val="TableSubBullet"/>
        <w:numPr>
          <w:ilvl w:val="0"/>
          <w:numId w:val="0"/>
        </w:numPr>
        <w:spacing w:after="0"/>
        <w:rPr>
          <w:rFonts w:ascii="Trebuchet MS" w:hAnsi="Trebuchet MS"/>
          <w:b/>
        </w:rPr>
      </w:pPr>
    </w:p>
    <w:p w:rsidR="0056048D" w:rsidRDefault="0056048D" w:rsidP="00802F5B">
      <w:pPr>
        <w:pStyle w:val="TableSubBullet"/>
        <w:numPr>
          <w:ilvl w:val="0"/>
          <w:numId w:val="0"/>
        </w:numPr>
        <w:spacing w:after="0"/>
        <w:jc w:val="both"/>
        <w:rPr>
          <w:rFonts w:ascii="Trebuchet MS" w:hAnsi="Trebuchet MS"/>
        </w:rPr>
      </w:pPr>
      <w:r>
        <w:rPr>
          <w:rFonts w:ascii="Trebuchet MS" w:hAnsi="Trebuchet MS"/>
        </w:rPr>
        <w:t>The following procedure ensures that all potential suppliers are treated fairly:</w:t>
      </w:r>
    </w:p>
    <w:p w:rsidR="0056048D" w:rsidRDefault="0056048D" w:rsidP="00802F5B">
      <w:pPr>
        <w:pStyle w:val="TableSubBullet"/>
        <w:numPr>
          <w:ilvl w:val="0"/>
          <w:numId w:val="0"/>
        </w:numPr>
        <w:spacing w:after="0"/>
        <w:jc w:val="both"/>
        <w:rPr>
          <w:rFonts w:ascii="Trebuchet MS" w:hAnsi="Trebuchet MS"/>
        </w:rPr>
      </w:pPr>
    </w:p>
    <w:p w:rsidR="0056048D" w:rsidRDefault="006C3F63" w:rsidP="00802F5B">
      <w:pPr>
        <w:pStyle w:val="TableSubBullet"/>
        <w:numPr>
          <w:ilvl w:val="0"/>
          <w:numId w:val="12"/>
        </w:numPr>
        <w:spacing w:after="0"/>
        <w:jc w:val="both"/>
        <w:rPr>
          <w:rFonts w:ascii="Trebuchet MS" w:hAnsi="Trebuchet MS"/>
        </w:rPr>
      </w:pPr>
      <w:r>
        <w:rPr>
          <w:rFonts w:ascii="Trebuchet MS" w:hAnsi="Trebuchet MS"/>
        </w:rPr>
        <w:t>a</w:t>
      </w:r>
      <w:r w:rsidR="004F5E65" w:rsidRPr="004F5E65">
        <w:rPr>
          <w:rFonts w:ascii="Trebuchet MS" w:hAnsi="Trebuchet MS"/>
        </w:rPr>
        <w:t>ll offers for tender are opened at the same time, with a minimum of two members of staff</w:t>
      </w:r>
      <w:r w:rsidR="0056048D">
        <w:rPr>
          <w:rFonts w:ascii="Trebuchet MS" w:hAnsi="Trebuchet MS"/>
        </w:rPr>
        <w:t xml:space="preserve"> present</w:t>
      </w:r>
      <w:r w:rsidR="004F5E65" w:rsidRPr="004F5E65">
        <w:rPr>
          <w:rFonts w:ascii="Trebuchet MS" w:hAnsi="Trebuchet MS"/>
        </w:rPr>
        <w:t>.</w:t>
      </w:r>
      <w:r w:rsidR="0056048D">
        <w:rPr>
          <w:rFonts w:ascii="Trebuchet MS" w:hAnsi="Trebuchet MS"/>
        </w:rPr>
        <w:t xml:space="preserve"> </w:t>
      </w:r>
    </w:p>
    <w:p w:rsidR="0056048D" w:rsidRDefault="006C3F63" w:rsidP="00802F5B">
      <w:pPr>
        <w:pStyle w:val="TableSubBullet"/>
        <w:numPr>
          <w:ilvl w:val="0"/>
          <w:numId w:val="12"/>
        </w:numPr>
        <w:spacing w:after="0"/>
        <w:jc w:val="both"/>
        <w:rPr>
          <w:rFonts w:ascii="Trebuchet MS" w:hAnsi="Trebuchet MS"/>
        </w:rPr>
      </w:pPr>
      <w:r>
        <w:rPr>
          <w:rFonts w:ascii="Trebuchet MS" w:hAnsi="Trebuchet MS"/>
        </w:rPr>
        <w:t>a</w:t>
      </w:r>
      <w:r w:rsidR="004F5E65" w:rsidRPr="004F5E65">
        <w:rPr>
          <w:rFonts w:ascii="Trebuchet MS" w:hAnsi="Trebuchet MS"/>
        </w:rPr>
        <w:t xml:space="preserve"> record is kept of all the suppliers who submitted tenders, along with the amount tendered. </w:t>
      </w:r>
    </w:p>
    <w:p w:rsidR="004F5E65" w:rsidRPr="004F5E65" w:rsidRDefault="006C3F63" w:rsidP="00802F5B">
      <w:pPr>
        <w:pStyle w:val="TableSubBullet"/>
        <w:numPr>
          <w:ilvl w:val="0"/>
          <w:numId w:val="12"/>
        </w:numPr>
        <w:spacing w:after="0"/>
        <w:jc w:val="both"/>
        <w:rPr>
          <w:rFonts w:ascii="Trebuchet MS" w:hAnsi="Trebuchet MS"/>
        </w:rPr>
      </w:pPr>
      <w:r>
        <w:rPr>
          <w:rFonts w:ascii="Trebuchet MS" w:hAnsi="Trebuchet MS"/>
        </w:rPr>
        <w:t>the</w:t>
      </w:r>
      <w:r w:rsidR="004F5E65" w:rsidRPr="004F5E65">
        <w:rPr>
          <w:rFonts w:ascii="Trebuchet MS" w:hAnsi="Trebuchet MS"/>
        </w:rPr>
        <w:t xml:space="preserve"> record is signed by all members of staff who are present at the opening of a new tender. </w:t>
      </w:r>
    </w:p>
    <w:p w:rsidR="004F5E65" w:rsidRDefault="004F5E65" w:rsidP="00FB609E">
      <w:pPr>
        <w:pStyle w:val="TableSubBullet"/>
        <w:numPr>
          <w:ilvl w:val="0"/>
          <w:numId w:val="0"/>
        </w:numPr>
        <w:spacing w:after="0"/>
        <w:rPr>
          <w:rFonts w:ascii="Trebuchet MS" w:hAnsi="Trebuchet MS"/>
          <w:b/>
        </w:rPr>
      </w:pPr>
    </w:p>
    <w:p w:rsidR="0056048D" w:rsidRDefault="0056048D" w:rsidP="00FB609E">
      <w:pPr>
        <w:pStyle w:val="TableSubBullet"/>
        <w:numPr>
          <w:ilvl w:val="0"/>
          <w:numId w:val="0"/>
        </w:numPr>
        <w:spacing w:after="0"/>
        <w:rPr>
          <w:rFonts w:ascii="Trebuchet MS" w:hAnsi="Trebuchet MS"/>
          <w:b/>
        </w:rPr>
      </w:pPr>
      <w:r>
        <w:rPr>
          <w:rFonts w:ascii="Trebuchet MS" w:hAnsi="Trebuchet MS"/>
          <w:b/>
        </w:rPr>
        <w:t>Evaluation of tenders</w:t>
      </w:r>
    </w:p>
    <w:p w:rsidR="0056048D" w:rsidRDefault="0056048D" w:rsidP="00FB609E">
      <w:pPr>
        <w:pStyle w:val="TableSubBullet"/>
        <w:numPr>
          <w:ilvl w:val="0"/>
          <w:numId w:val="0"/>
        </w:numPr>
        <w:spacing w:after="0"/>
        <w:rPr>
          <w:rFonts w:ascii="Trebuchet MS" w:hAnsi="Trebuchet MS"/>
          <w:b/>
        </w:rPr>
      </w:pPr>
    </w:p>
    <w:p w:rsidR="0056048D" w:rsidRDefault="0056048D" w:rsidP="00802F5B">
      <w:pPr>
        <w:pStyle w:val="TableSubBullet"/>
        <w:numPr>
          <w:ilvl w:val="0"/>
          <w:numId w:val="0"/>
        </w:numPr>
        <w:spacing w:after="0"/>
        <w:jc w:val="both"/>
        <w:rPr>
          <w:rFonts w:ascii="Trebuchet MS" w:hAnsi="Trebuchet MS"/>
        </w:rPr>
      </w:pPr>
      <w:r w:rsidRPr="0056048D">
        <w:rPr>
          <w:rFonts w:ascii="Trebuchet MS" w:hAnsi="Trebuchet MS"/>
        </w:rPr>
        <w:t xml:space="preserve">The tenders are evaluated against the </w:t>
      </w:r>
      <w:r>
        <w:rPr>
          <w:rFonts w:ascii="Trebuchet MS" w:hAnsi="Trebuchet MS"/>
        </w:rPr>
        <w:t>criteria and weighting stipulated in the original tender document. Such criteria should include:</w:t>
      </w:r>
    </w:p>
    <w:p w:rsidR="0056048D" w:rsidRDefault="0056048D" w:rsidP="00802F5B">
      <w:pPr>
        <w:pStyle w:val="TableSubBullet"/>
        <w:numPr>
          <w:ilvl w:val="0"/>
          <w:numId w:val="0"/>
        </w:numPr>
        <w:spacing w:after="0"/>
        <w:jc w:val="both"/>
        <w:rPr>
          <w:rFonts w:ascii="Trebuchet MS" w:hAnsi="Trebuchet MS"/>
        </w:rPr>
      </w:pP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p</w:t>
      </w:r>
      <w:r w:rsidR="0056048D">
        <w:rPr>
          <w:rFonts w:ascii="Trebuchet MS" w:hAnsi="Trebuchet MS"/>
        </w:rPr>
        <w:t>rice</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f</w:t>
      </w:r>
      <w:r w:rsidR="0056048D">
        <w:rPr>
          <w:rFonts w:ascii="Trebuchet MS" w:hAnsi="Trebuchet MS"/>
        </w:rPr>
        <w:t>inancial stability of the supplier</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i</w:t>
      </w:r>
      <w:r w:rsidR="0056048D">
        <w:rPr>
          <w:rFonts w:ascii="Trebuchet MS" w:hAnsi="Trebuchet MS"/>
        </w:rPr>
        <w:t>nsurance cover</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a</w:t>
      </w:r>
      <w:r w:rsidR="0056048D">
        <w:rPr>
          <w:rFonts w:ascii="Trebuchet MS" w:hAnsi="Trebuchet MS"/>
        </w:rPr>
        <w:t>bility to supply the contract</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b</w:t>
      </w:r>
      <w:r w:rsidR="0056048D">
        <w:rPr>
          <w:rFonts w:ascii="Trebuchet MS" w:hAnsi="Trebuchet MS"/>
        </w:rPr>
        <w:t>est match of the goods or services to the specification required</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q</w:t>
      </w:r>
      <w:r w:rsidR="0056048D">
        <w:rPr>
          <w:rFonts w:ascii="Trebuchet MS" w:hAnsi="Trebuchet MS"/>
        </w:rPr>
        <w:t>uality control procedure</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c</w:t>
      </w:r>
      <w:r w:rsidR="0056048D">
        <w:rPr>
          <w:rFonts w:ascii="Trebuchet MS" w:hAnsi="Trebuchet MS"/>
        </w:rPr>
        <w:t>onformity with required standards</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r</w:t>
      </w:r>
      <w:r w:rsidR="0056048D">
        <w:rPr>
          <w:rFonts w:ascii="Trebuchet MS" w:hAnsi="Trebuchet MS"/>
        </w:rPr>
        <w:t>eferences from current or previous customers</w:t>
      </w:r>
    </w:p>
    <w:p w:rsidR="0056048D" w:rsidRDefault="006C3F63" w:rsidP="00802F5B">
      <w:pPr>
        <w:pStyle w:val="TableSubBullet"/>
        <w:numPr>
          <w:ilvl w:val="0"/>
          <w:numId w:val="13"/>
        </w:numPr>
        <w:spacing w:after="0"/>
        <w:jc w:val="both"/>
        <w:rPr>
          <w:rFonts w:ascii="Trebuchet MS" w:hAnsi="Trebuchet MS"/>
        </w:rPr>
      </w:pPr>
      <w:r>
        <w:rPr>
          <w:rFonts w:ascii="Trebuchet MS" w:hAnsi="Trebuchet MS"/>
        </w:rPr>
        <w:t>h</w:t>
      </w:r>
      <w:r w:rsidR="0056048D">
        <w:rPr>
          <w:rFonts w:ascii="Trebuchet MS" w:hAnsi="Trebuchet MS"/>
        </w:rPr>
        <w:t>elpdesk or other responsive services</w:t>
      </w:r>
    </w:p>
    <w:p w:rsidR="00FA124B" w:rsidRDefault="006C3F63" w:rsidP="00802F5B">
      <w:pPr>
        <w:pStyle w:val="TableSubBullet"/>
        <w:numPr>
          <w:ilvl w:val="0"/>
          <w:numId w:val="13"/>
        </w:numPr>
        <w:spacing w:after="0"/>
        <w:jc w:val="both"/>
        <w:rPr>
          <w:rFonts w:ascii="Trebuchet MS" w:hAnsi="Trebuchet MS"/>
        </w:rPr>
      </w:pPr>
      <w:r>
        <w:rPr>
          <w:rFonts w:ascii="Trebuchet MS" w:hAnsi="Trebuchet MS"/>
        </w:rPr>
        <w:t>h</w:t>
      </w:r>
      <w:r w:rsidR="00FA124B">
        <w:rPr>
          <w:rFonts w:ascii="Trebuchet MS" w:hAnsi="Trebuchet MS"/>
        </w:rPr>
        <w:t>ow well supplier can match timescales</w:t>
      </w:r>
    </w:p>
    <w:p w:rsidR="00FA124B" w:rsidRDefault="00FA124B" w:rsidP="00802F5B">
      <w:pPr>
        <w:pStyle w:val="TableSubBullet"/>
        <w:numPr>
          <w:ilvl w:val="0"/>
          <w:numId w:val="0"/>
        </w:numPr>
        <w:spacing w:after="0"/>
        <w:ind w:left="360" w:hanging="360"/>
        <w:jc w:val="both"/>
        <w:rPr>
          <w:rFonts w:ascii="Trebuchet MS" w:hAnsi="Trebuchet MS"/>
        </w:rPr>
      </w:pPr>
    </w:p>
    <w:p w:rsidR="00FA124B" w:rsidRDefault="00FA124B" w:rsidP="00802F5B">
      <w:pPr>
        <w:pStyle w:val="TableSubBullet"/>
        <w:numPr>
          <w:ilvl w:val="0"/>
          <w:numId w:val="0"/>
        </w:numPr>
        <w:spacing w:after="0"/>
        <w:jc w:val="both"/>
        <w:rPr>
          <w:rFonts w:ascii="Trebuchet MS" w:hAnsi="Trebuchet MS"/>
        </w:rPr>
      </w:pPr>
      <w:r>
        <w:rPr>
          <w:rFonts w:ascii="Trebuchet MS" w:hAnsi="Trebuchet MS"/>
        </w:rPr>
        <w:t>At least 2 people should independently evaluate the submitted tenders and their combined scores should be moderated to award the contract to the highest scoring bidder.</w:t>
      </w:r>
    </w:p>
    <w:p w:rsidR="00802F5B" w:rsidRDefault="00802F5B" w:rsidP="00FA124B">
      <w:pPr>
        <w:rPr>
          <w:rFonts w:ascii="Trebuchet MS" w:hAnsi="Trebuchet MS"/>
          <w:b/>
        </w:rPr>
      </w:pPr>
    </w:p>
    <w:p w:rsidR="00FA124B" w:rsidRPr="00FA124B" w:rsidRDefault="00FA124B" w:rsidP="00FA124B">
      <w:pPr>
        <w:rPr>
          <w:rFonts w:ascii="Trebuchet MS" w:hAnsi="Trebuchet MS"/>
        </w:rPr>
      </w:pPr>
      <w:r w:rsidRPr="00FA124B">
        <w:rPr>
          <w:rFonts w:ascii="Trebuchet MS" w:hAnsi="Trebuchet MS"/>
          <w:b/>
        </w:rPr>
        <w:t>Award the contract</w:t>
      </w:r>
    </w:p>
    <w:p w:rsidR="00FA124B" w:rsidRPr="00FA124B" w:rsidRDefault="00FA124B" w:rsidP="00802F5B">
      <w:pPr>
        <w:pStyle w:val="TableSubBullet"/>
        <w:numPr>
          <w:ilvl w:val="0"/>
          <w:numId w:val="0"/>
        </w:numPr>
        <w:spacing w:after="0"/>
        <w:jc w:val="both"/>
        <w:rPr>
          <w:rFonts w:ascii="Trebuchet MS" w:hAnsi="Trebuchet MS"/>
        </w:rPr>
      </w:pPr>
      <w:r w:rsidRPr="00FA124B">
        <w:rPr>
          <w:rFonts w:ascii="Trebuchet MS" w:hAnsi="Trebuchet MS"/>
        </w:rPr>
        <w:t>The final contract that both parties sign should include:</w:t>
      </w:r>
    </w:p>
    <w:p w:rsidR="00F028EE" w:rsidRDefault="00F028EE" w:rsidP="00802F5B">
      <w:pPr>
        <w:pStyle w:val="TableSubBullet"/>
        <w:numPr>
          <w:ilvl w:val="0"/>
          <w:numId w:val="0"/>
        </w:numPr>
        <w:spacing w:after="0"/>
        <w:jc w:val="both"/>
        <w:rPr>
          <w:rFonts w:ascii="Trebuchet MS" w:hAnsi="Trebuchet MS"/>
        </w:rPr>
      </w:pPr>
    </w:p>
    <w:p w:rsidR="00FA124B" w:rsidRPr="00FA124B" w:rsidRDefault="00FA124B" w:rsidP="00802F5B">
      <w:pPr>
        <w:pStyle w:val="TableSubBullet"/>
        <w:numPr>
          <w:ilvl w:val="0"/>
          <w:numId w:val="14"/>
        </w:numPr>
        <w:spacing w:after="0"/>
        <w:jc w:val="both"/>
        <w:rPr>
          <w:rFonts w:ascii="Trebuchet MS" w:hAnsi="Trebuchet MS"/>
        </w:rPr>
      </w:pPr>
      <w:r w:rsidRPr="00FA124B">
        <w:rPr>
          <w:rFonts w:ascii="Trebuchet MS" w:hAnsi="Trebuchet MS"/>
        </w:rPr>
        <w:t xml:space="preserve">a copy of the goods, works or services </w:t>
      </w:r>
    </w:p>
    <w:p w:rsidR="00FA124B" w:rsidRPr="00FA124B" w:rsidRDefault="00FA124B" w:rsidP="00802F5B">
      <w:pPr>
        <w:pStyle w:val="TableSubBullet"/>
        <w:numPr>
          <w:ilvl w:val="0"/>
          <w:numId w:val="14"/>
        </w:numPr>
        <w:spacing w:after="0"/>
        <w:jc w:val="both"/>
        <w:rPr>
          <w:rFonts w:ascii="Trebuchet MS" w:hAnsi="Trebuchet MS"/>
        </w:rPr>
      </w:pPr>
      <w:r w:rsidRPr="00FA124B">
        <w:rPr>
          <w:rFonts w:ascii="Trebuchet MS" w:hAnsi="Trebuchet MS"/>
        </w:rPr>
        <w:t>a pricing schedule completed by the supplier</w:t>
      </w:r>
    </w:p>
    <w:p w:rsidR="00FA124B" w:rsidRDefault="00FA124B" w:rsidP="00802F5B">
      <w:pPr>
        <w:pStyle w:val="TableSubBullet"/>
        <w:numPr>
          <w:ilvl w:val="0"/>
          <w:numId w:val="14"/>
        </w:numPr>
        <w:spacing w:after="0"/>
        <w:jc w:val="both"/>
        <w:rPr>
          <w:rFonts w:ascii="Trebuchet MS" w:hAnsi="Trebuchet MS"/>
        </w:rPr>
      </w:pPr>
      <w:r w:rsidRPr="00FA124B">
        <w:rPr>
          <w:rFonts w:ascii="Trebuchet MS" w:hAnsi="Trebuchet MS"/>
        </w:rPr>
        <w:t xml:space="preserve">the </w:t>
      </w:r>
      <w:hyperlink r:id="rId13" w:anchor="terms-and-conditions" w:history="1">
        <w:r w:rsidRPr="00FA124B">
          <w:rPr>
            <w:rFonts w:ascii="Trebuchet MS" w:hAnsi="Trebuchet MS"/>
          </w:rPr>
          <w:t>terms and conditions</w:t>
        </w:r>
      </w:hyperlink>
      <w:r w:rsidRPr="00FA124B">
        <w:rPr>
          <w:rFonts w:ascii="Trebuchet MS" w:hAnsi="Trebuchet MS"/>
        </w:rPr>
        <w:t xml:space="preserve"> agreed with the supplier</w:t>
      </w:r>
    </w:p>
    <w:p w:rsidR="00C35209" w:rsidRPr="00FA124B" w:rsidRDefault="00C35209" w:rsidP="00802F5B">
      <w:pPr>
        <w:pStyle w:val="TableSubBullet"/>
        <w:numPr>
          <w:ilvl w:val="0"/>
          <w:numId w:val="14"/>
        </w:numPr>
        <w:spacing w:after="0"/>
        <w:jc w:val="both"/>
        <w:rPr>
          <w:rFonts w:ascii="Trebuchet MS" w:hAnsi="Trebuchet MS"/>
        </w:rPr>
      </w:pPr>
      <w:r>
        <w:rPr>
          <w:rFonts w:ascii="Trebuchet MS" w:hAnsi="Trebuchet MS"/>
        </w:rPr>
        <w:t>data sharing arrangements and protections</w:t>
      </w:r>
    </w:p>
    <w:p w:rsidR="00FA124B" w:rsidRPr="00FA124B" w:rsidRDefault="00FA124B" w:rsidP="00802F5B">
      <w:pPr>
        <w:pStyle w:val="TableSubBullet"/>
        <w:numPr>
          <w:ilvl w:val="0"/>
          <w:numId w:val="14"/>
        </w:numPr>
        <w:spacing w:after="0"/>
        <w:jc w:val="both"/>
        <w:rPr>
          <w:rFonts w:ascii="Trebuchet MS" w:hAnsi="Trebuchet MS"/>
        </w:rPr>
      </w:pPr>
      <w:r w:rsidRPr="00FA124B">
        <w:rPr>
          <w:rFonts w:ascii="Trebuchet MS" w:hAnsi="Trebuchet MS"/>
        </w:rPr>
        <w:t xml:space="preserve">the </w:t>
      </w:r>
      <w:hyperlink r:id="rId14" w:anchor="SLA" w:history="1">
        <w:r w:rsidRPr="00FA124B">
          <w:rPr>
            <w:rFonts w:ascii="Trebuchet MS" w:hAnsi="Trebuchet MS"/>
          </w:rPr>
          <w:t>SLA</w:t>
        </w:r>
      </w:hyperlink>
      <w:r w:rsidRPr="00FA124B">
        <w:rPr>
          <w:rFonts w:ascii="Trebuchet MS" w:hAnsi="Trebuchet MS"/>
        </w:rPr>
        <w:t>, if agreed with the supplier</w:t>
      </w:r>
    </w:p>
    <w:p w:rsidR="00FA124B" w:rsidRPr="00FA124B" w:rsidRDefault="00FA124B" w:rsidP="00802F5B">
      <w:pPr>
        <w:pStyle w:val="TableSubBullet"/>
        <w:numPr>
          <w:ilvl w:val="0"/>
          <w:numId w:val="14"/>
        </w:numPr>
        <w:spacing w:after="0"/>
        <w:jc w:val="both"/>
        <w:rPr>
          <w:rFonts w:ascii="Trebuchet MS" w:hAnsi="Trebuchet MS"/>
        </w:rPr>
      </w:pPr>
      <w:r w:rsidRPr="00FA124B">
        <w:rPr>
          <w:rFonts w:ascii="Trebuchet MS" w:hAnsi="Trebuchet MS"/>
        </w:rPr>
        <w:t xml:space="preserve">any </w:t>
      </w:r>
      <w:hyperlink r:id="rId15" w:anchor="contract-management" w:history="1">
        <w:r w:rsidRPr="00FA124B">
          <w:rPr>
            <w:rFonts w:ascii="Trebuchet MS" w:hAnsi="Trebuchet MS"/>
          </w:rPr>
          <w:t>contract management</w:t>
        </w:r>
      </w:hyperlink>
      <w:r w:rsidRPr="00FA124B">
        <w:rPr>
          <w:rFonts w:ascii="Trebuchet MS" w:hAnsi="Trebuchet MS"/>
        </w:rPr>
        <w:t xml:space="preserve"> agreements</w:t>
      </w:r>
    </w:p>
    <w:p w:rsidR="00FA124B" w:rsidRPr="00FA124B" w:rsidRDefault="00FA124B" w:rsidP="00802F5B">
      <w:pPr>
        <w:pStyle w:val="TableSubBullet"/>
        <w:numPr>
          <w:ilvl w:val="0"/>
          <w:numId w:val="14"/>
        </w:numPr>
        <w:spacing w:after="0"/>
        <w:jc w:val="both"/>
        <w:rPr>
          <w:rFonts w:ascii="Trebuchet MS" w:hAnsi="Trebuchet MS"/>
        </w:rPr>
      </w:pPr>
      <w:r w:rsidRPr="00FA124B">
        <w:rPr>
          <w:rFonts w:ascii="Trebuchet MS" w:hAnsi="Trebuchet MS"/>
        </w:rPr>
        <w:t xml:space="preserve">an ‘implementation plan’, with </w:t>
      </w:r>
      <w:r w:rsidR="00F028EE">
        <w:rPr>
          <w:rFonts w:ascii="Trebuchet MS" w:hAnsi="Trebuchet MS"/>
        </w:rPr>
        <w:t>the</w:t>
      </w:r>
      <w:r w:rsidRPr="00FA124B">
        <w:rPr>
          <w:rFonts w:ascii="Trebuchet MS" w:hAnsi="Trebuchet MS"/>
        </w:rPr>
        <w:t xml:space="preserve"> responsibilities of </w:t>
      </w:r>
      <w:r w:rsidR="00F028EE">
        <w:rPr>
          <w:rFonts w:ascii="Trebuchet MS" w:hAnsi="Trebuchet MS"/>
        </w:rPr>
        <w:t>the trust and</w:t>
      </w:r>
      <w:r w:rsidRPr="00FA124B">
        <w:rPr>
          <w:rFonts w:ascii="Trebuchet MS" w:hAnsi="Trebuchet MS"/>
        </w:rPr>
        <w:t xml:space="preserve"> supplier  </w:t>
      </w:r>
    </w:p>
    <w:p w:rsidR="00FA124B" w:rsidRPr="00FA124B" w:rsidRDefault="00F028EE" w:rsidP="00802F5B">
      <w:pPr>
        <w:pStyle w:val="TableSubBullet"/>
        <w:numPr>
          <w:ilvl w:val="0"/>
          <w:numId w:val="14"/>
        </w:numPr>
        <w:spacing w:after="0"/>
        <w:jc w:val="both"/>
        <w:rPr>
          <w:rFonts w:ascii="Trebuchet MS" w:hAnsi="Trebuchet MS"/>
        </w:rPr>
      </w:pPr>
      <w:r>
        <w:rPr>
          <w:rFonts w:ascii="Trebuchet MS" w:hAnsi="Trebuchet MS"/>
        </w:rPr>
        <w:t>the tender</w:t>
      </w:r>
      <w:r w:rsidR="00FA124B" w:rsidRPr="00FA124B">
        <w:rPr>
          <w:rFonts w:ascii="Trebuchet MS" w:hAnsi="Trebuchet MS"/>
        </w:rPr>
        <w:t xml:space="preserve"> specification as an appendix</w:t>
      </w:r>
    </w:p>
    <w:p w:rsidR="00FA124B" w:rsidRDefault="00FA124B" w:rsidP="00802F5B">
      <w:pPr>
        <w:pStyle w:val="TableSubBullet"/>
        <w:numPr>
          <w:ilvl w:val="0"/>
          <w:numId w:val="0"/>
        </w:numPr>
        <w:spacing w:after="0"/>
        <w:jc w:val="both"/>
        <w:rPr>
          <w:rFonts w:ascii="Trebuchet MS" w:hAnsi="Trebuchet MS"/>
        </w:rPr>
      </w:pPr>
    </w:p>
    <w:p w:rsidR="00F028EE" w:rsidRPr="0056048D" w:rsidRDefault="00F028EE" w:rsidP="00802F5B">
      <w:pPr>
        <w:pStyle w:val="TableSubBullet"/>
        <w:numPr>
          <w:ilvl w:val="0"/>
          <w:numId w:val="0"/>
        </w:numPr>
        <w:spacing w:after="0"/>
        <w:jc w:val="both"/>
        <w:rPr>
          <w:rFonts w:ascii="Trebuchet MS" w:hAnsi="Trebuchet MS"/>
        </w:rPr>
      </w:pPr>
      <w:r>
        <w:rPr>
          <w:rFonts w:ascii="Trebuchet MS" w:hAnsi="Trebuchet MS"/>
        </w:rPr>
        <w:t>It is also necessary to debrief unsuccessful suppliers. Feedback should concentrate solely on the supplier’s bid and not provide commercial information on other suppliers.</w:t>
      </w:r>
    </w:p>
    <w:sectPr w:rsidR="00F028EE" w:rsidRPr="0056048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2E" w:rsidRDefault="004F232E" w:rsidP="002137CF">
      <w:pPr>
        <w:spacing w:after="0" w:line="240" w:lineRule="auto"/>
      </w:pPr>
      <w:r>
        <w:separator/>
      </w:r>
    </w:p>
  </w:endnote>
  <w:endnote w:type="continuationSeparator" w:id="0">
    <w:p w:rsidR="004F232E" w:rsidRDefault="004F232E" w:rsidP="002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2E" w:rsidRPr="00B1353C" w:rsidRDefault="004F232E" w:rsidP="00262CE3">
    <w:pPr>
      <w:spacing w:after="300" w:line="240" w:lineRule="auto"/>
      <w:contextualSpacing/>
      <w:jc w:val="both"/>
      <w:rPr>
        <w:rFonts w:ascii="Trebuchet MS" w:eastAsia="@헤드라인A" w:hAnsi="Trebuchet MS" w:cs="Arial"/>
        <w:b/>
        <w:spacing w:val="5"/>
        <w:kern w:val="28"/>
        <w:szCs w:val="24"/>
      </w:rPr>
    </w:pPr>
    <w:r w:rsidRPr="00B1353C">
      <w:rPr>
        <w:rFonts w:ascii="Trebuchet MS" w:eastAsia="@헤드라인A" w:hAnsi="Trebuchet MS" w:cs="Arial"/>
        <w:b/>
        <w:spacing w:val="5"/>
        <w:kern w:val="28"/>
        <w:szCs w:val="24"/>
      </w:rPr>
      <w:t xml:space="preserve">Approved by the Board of Directors on:  </w:t>
    </w:r>
  </w:p>
  <w:p w:rsidR="004F232E" w:rsidRPr="00B1353C" w:rsidRDefault="004F232E" w:rsidP="00262CE3">
    <w:pPr>
      <w:spacing w:after="300" w:line="240" w:lineRule="auto"/>
      <w:contextualSpacing/>
      <w:jc w:val="both"/>
      <w:rPr>
        <w:rFonts w:ascii="Trebuchet MS" w:eastAsia="@헤드라인A" w:hAnsi="Trebuchet MS" w:cs="Arial"/>
        <w:b/>
        <w:color w:val="17365D"/>
        <w:spacing w:val="5"/>
        <w:kern w:val="28"/>
        <w:szCs w:val="24"/>
      </w:rPr>
    </w:pPr>
    <w:r w:rsidRPr="00B1353C">
      <w:rPr>
        <w:rFonts w:ascii="Trebuchet MS" w:eastAsia="@헤드라인A" w:hAnsi="Trebuchet MS" w:cs="Arial"/>
        <w:b/>
        <w:color w:val="17365D"/>
        <w:spacing w:val="5"/>
        <w:kern w:val="28"/>
        <w:szCs w:val="24"/>
      </w:rPr>
      <w:tab/>
    </w:r>
    <w:r w:rsidRPr="00B1353C">
      <w:rPr>
        <w:rFonts w:ascii="Trebuchet MS" w:eastAsia="@헤드라인A" w:hAnsi="Trebuchet MS" w:cs="Arial"/>
        <w:b/>
        <w:color w:val="17365D"/>
        <w:spacing w:val="5"/>
        <w:kern w:val="28"/>
        <w:szCs w:val="24"/>
      </w:rPr>
      <w:tab/>
    </w:r>
  </w:p>
  <w:p w:rsidR="004F232E" w:rsidRPr="00262CE3" w:rsidRDefault="004F232E" w:rsidP="00262CE3">
    <w:pPr>
      <w:tabs>
        <w:tab w:val="center" w:pos="4513"/>
        <w:tab w:val="right" w:pos="9026"/>
      </w:tabs>
      <w:spacing w:after="0" w:line="240" w:lineRule="auto"/>
      <w:jc w:val="both"/>
      <w:rPr>
        <w:rFonts w:ascii="Arial" w:eastAsia="@헤드라인A" w:hAnsi="Arial" w:cs="Arial"/>
        <w:sz w:val="20"/>
        <w:szCs w:val="20"/>
      </w:rPr>
    </w:pPr>
    <w:r w:rsidRPr="00B1353C">
      <w:rPr>
        <w:rFonts w:ascii="Trebuchet MS" w:eastAsia="@헤드라인A" w:hAnsi="Trebuchet MS" w:cs="Arial"/>
        <w:b/>
        <w:szCs w:val="24"/>
      </w:rPr>
      <w:t>Review date:</w:t>
    </w:r>
    <w:r w:rsidR="00B84196">
      <w:rPr>
        <w:rFonts w:ascii="Trebuchet MS" w:eastAsia="@헤드라인A" w:hAnsi="Trebuchet MS" w:cs="Arial"/>
        <w:b/>
        <w:szCs w:val="24"/>
      </w:rPr>
      <w:t xml:space="preserve"> April 2020</w:t>
    </w:r>
    <w:r>
      <w:rPr>
        <w:rFonts w:ascii="Arial" w:eastAsia="@헤드라인A" w:hAnsi="Arial" w:cs="Arial"/>
        <w:sz w:val="20"/>
        <w:szCs w:val="20"/>
      </w:rPr>
      <w:tab/>
    </w:r>
    <w:r>
      <w:rPr>
        <w:rFonts w:ascii="Arial" w:eastAsia="@헤드라인A" w:hAnsi="Arial" w:cs="Arial"/>
        <w:sz w:val="20"/>
        <w:szCs w:val="20"/>
      </w:rPr>
      <w:tab/>
    </w:r>
    <w:r w:rsidRPr="00262CE3">
      <w:rPr>
        <w:rFonts w:ascii="Arial" w:eastAsia="@헤드라인A" w:hAnsi="Arial" w:cs="Arial"/>
        <w:sz w:val="20"/>
        <w:szCs w:val="20"/>
      </w:rPr>
      <w:t xml:space="preserve">Page </w:t>
    </w:r>
    <w:r w:rsidRPr="00262CE3">
      <w:rPr>
        <w:rFonts w:ascii="Arial" w:eastAsia="@헤드라인A" w:hAnsi="Arial" w:cs="Arial"/>
        <w:b/>
        <w:sz w:val="20"/>
        <w:szCs w:val="20"/>
      </w:rPr>
      <w:fldChar w:fldCharType="begin"/>
    </w:r>
    <w:r w:rsidRPr="00262CE3">
      <w:rPr>
        <w:rFonts w:ascii="Arial" w:eastAsia="@헤드라인A" w:hAnsi="Arial" w:cs="Arial"/>
        <w:b/>
        <w:sz w:val="20"/>
        <w:szCs w:val="20"/>
      </w:rPr>
      <w:instrText xml:space="preserve"> PAGE  \* Arabic  \* MERGEFORMAT </w:instrText>
    </w:r>
    <w:r w:rsidRPr="00262CE3">
      <w:rPr>
        <w:rFonts w:ascii="Arial" w:eastAsia="@헤드라인A" w:hAnsi="Arial" w:cs="Arial"/>
        <w:b/>
        <w:sz w:val="20"/>
        <w:szCs w:val="20"/>
      </w:rPr>
      <w:fldChar w:fldCharType="separate"/>
    </w:r>
    <w:r w:rsidR="00B84196">
      <w:rPr>
        <w:rFonts w:ascii="Arial" w:eastAsia="@헤드라인A" w:hAnsi="Arial" w:cs="Arial"/>
        <w:b/>
        <w:noProof/>
        <w:sz w:val="20"/>
        <w:szCs w:val="20"/>
      </w:rPr>
      <w:t>2</w:t>
    </w:r>
    <w:r w:rsidRPr="00262CE3">
      <w:rPr>
        <w:rFonts w:ascii="Arial" w:eastAsia="@헤드라인A" w:hAnsi="Arial" w:cs="Arial"/>
        <w:b/>
        <w:sz w:val="20"/>
        <w:szCs w:val="20"/>
      </w:rPr>
      <w:fldChar w:fldCharType="end"/>
    </w:r>
    <w:r w:rsidRPr="00262CE3">
      <w:rPr>
        <w:rFonts w:ascii="Arial" w:eastAsia="@헤드라인A" w:hAnsi="Arial" w:cs="Arial"/>
        <w:sz w:val="20"/>
        <w:szCs w:val="20"/>
      </w:rPr>
      <w:t xml:space="preserve"> of </w:t>
    </w:r>
    <w:r w:rsidRPr="00262CE3">
      <w:rPr>
        <w:rFonts w:ascii="Arial" w:eastAsia="@헤드라인A" w:hAnsi="Arial" w:cs="Times New Roman"/>
        <w:sz w:val="24"/>
        <w:szCs w:val="24"/>
      </w:rPr>
      <w:fldChar w:fldCharType="begin"/>
    </w:r>
    <w:r w:rsidRPr="00262CE3">
      <w:rPr>
        <w:rFonts w:ascii="Arial" w:eastAsia="@헤드라인A" w:hAnsi="Arial" w:cs="Times New Roman"/>
        <w:sz w:val="24"/>
        <w:szCs w:val="24"/>
      </w:rPr>
      <w:instrText xml:space="preserve"> NUMPAGES  \* Arabic  \* MERGEFORMAT </w:instrText>
    </w:r>
    <w:r w:rsidRPr="00262CE3">
      <w:rPr>
        <w:rFonts w:ascii="Arial" w:eastAsia="@헤드라인A" w:hAnsi="Arial" w:cs="Times New Roman"/>
        <w:sz w:val="24"/>
        <w:szCs w:val="24"/>
      </w:rPr>
      <w:fldChar w:fldCharType="separate"/>
    </w:r>
    <w:r w:rsidR="00B84196" w:rsidRPr="00B84196">
      <w:rPr>
        <w:rFonts w:ascii="Arial" w:eastAsia="@헤드라인A" w:hAnsi="Arial" w:cs="Arial"/>
        <w:b/>
        <w:noProof/>
        <w:sz w:val="20"/>
        <w:szCs w:val="20"/>
      </w:rPr>
      <w:t>13</w:t>
    </w:r>
    <w:r w:rsidRPr="00262CE3">
      <w:rPr>
        <w:rFonts w:ascii="Arial" w:eastAsia="@헤드라인A" w:hAnsi="Arial" w:cs="Arial"/>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2E" w:rsidRDefault="004F232E" w:rsidP="002137CF">
      <w:pPr>
        <w:spacing w:after="0" w:line="240" w:lineRule="auto"/>
      </w:pPr>
      <w:r>
        <w:separator/>
      </w:r>
    </w:p>
  </w:footnote>
  <w:footnote w:type="continuationSeparator" w:id="0">
    <w:p w:rsidR="004F232E" w:rsidRDefault="004F232E" w:rsidP="0021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2E" w:rsidRDefault="004F232E" w:rsidP="00B1353C">
    <w:pPr>
      <w:jc w:val="right"/>
      <w:rPr>
        <w:rFonts w:ascii="Arial" w:hAnsi="Arial" w:cs="Arial"/>
        <w:sz w:val="24"/>
        <w:szCs w:val="24"/>
      </w:rPr>
    </w:pPr>
    <w:r>
      <w:rPr>
        <w:rFonts w:cs="Arial"/>
        <w:noProof/>
        <w:lang w:eastAsia="en-GB"/>
      </w:rPr>
      <w:drawing>
        <wp:inline distT="0" distB="0" distL="0" distR="0" wp14:anchorId="66440BA4" wp14:editId="5B7F6D17">
          <wp:extent cx="1381125" cy="652462"/>
          <wp:effectExtent l="0" t="0" r="0" b="0"/>
          <wp:docPr id="4" name="Picture 4"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483"/>
    <w:multiLevelType w:val="hybridMultilevel"/>
    <w:tmpl w:val="9E64D08E"/>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26531D"/>
    <w:multiLevelType w:val="multilevel"/>
    <w:tmpl w:val="8B64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E15AB"/>
    <w:multiLevelType w:val="hybridMultilevel"/>
    <w:tmpl w:val="C910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D6939"/>
    <w:multiLevelType w:val="hybridMultilevel"/>
    <w:tmpl w:val="DF8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F264D19"/>
    <w:multiLevelType w:val="hybridMultilevel"/>
    <w:tmpl w:val="24FC577C"/>
    <w:lvl w:ilvl="0" w:tplc="9DF0A736">
      <w:start w:val="1"/>
      <w:numFmt w:val="bullet"/>
      <w:pStyle w:val="TableSubBullet"/>
      <w:lvlText w:val="–"/>
      <w:lvlJc w:val="left"/>
      <w:pPr>
        <w:ind w:left="360" w:hanging="360"/>
      </w:pPr>
      <w:rPr>
        <w:rFonts w:ascii="Arial" w:hAnsi="Arial" w:hint="default"/>
        <w:sz w:val="12"/>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3F990060"/>
    <w:multiLevelType w:val="hybridMultilevel"/>
    <w:tmpl w:val="2374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5533F"/>
    <w:multiLevelType w:val="hybridMultilevel"/>
    <w:tmpl w:val="BC9C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7A5D2C"/>
    <w:multiLevelType w:val="hybridMultilevel"/>
    <w:tmpl w:val="4B9E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945BA7"/>
    <w:multiLevelType w:val="hybridMultilevel"/>
    <w:tmpl w:val="DB9C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A63EB"/>
    <w:multiLevelType w:val="hybridMultilevel"/>
    <w:tmpl w:val="E7F06510"/>
    <w:lvl w:ilvl="0" w:tplc="77B02134">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nsid w:val="65595C50"/>
    <w:multiLevelType w:val="hybridMultilevel"/>
    <w:tmpl w:val="3158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191CFB"/>
    <w:multiLevelType w:val="hybridMultilevel"/>
    <w:tmpl w:val="72C0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233553"/>
    <w:multiLevelType w:val="hybridMultilevel"/>
    <w:tmpl w:val="E216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81F90"/>
    <w:multiLevelType w:val="hybridMultilevel"/>
    <w:tmpl w:val="1CC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D3070D"/>
    <w:multiLevelType w:val="hybridMultilevel"/>
    <w:tmpl w:val="56B0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6"/>
  </w:num>
  <w:num w:numId="5">
    <w:abstractNumId w:val="7"/>
  </w:num>
  <w:num w:numId="6">
    <w:abstractNumId w:val="9"/>
  </w:num>
  <w:num w:numId="7">
    <w:abstractNumId w:val="6"/>
  </w:num>
  <w:num w:numId="8">
    <w:abstractNumId w:val="0"/>
  </w:num>
  <w:num w:numId="9">
    <w:abstractNumId w:val="2"/>
  </w:num>
  <w:num w:numId="10">
    <w:abstractNumId w:val="11"/>
  </w:num>
  <w:num w:numId="11">
    <w:abstractNumId w:val="15"/>
  </w:num>
  <w:num w:numId="12">
    <w:abstractNumId w:val="10"/>
  </w:num>
  <w:num w:numId="13">
    <w:abstractNumId w:val="17"/>
  </w:num>
  <w:num w:numId="14">
    <w:abstractNumId w:val="12"/>
  </w:num>
  <w:num w:numId="15">
    <w:abstractNumId w:val="8"/>
  </w:num>
  <w:num w:numId="16">
    <w:abstractNumId w:val="4"/>
  </w:num>
  <w:num w:numId="17">
    <w:abstractNumId w:val="14"/>
  </w:num>
  <w:num w:numId="18">
    <w:abstractNumId w:val="13"/>
  </w:num>
  <w:num w:numId="19">
    <w:abstractNumId w:val="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3"/>
    <w:rsid w:val="00044E1F"/>
    <w:rsid w:val="000477AF"/>
    <w:rsid w:val="00061B9F"/>
    <w:rsid w:val="00083707"/>
    <w:rsid w:val="00086D05"/>
    <w:rsid w:val="000932BB"/>
    <w:rsid w:val="000E0ABB"/>
    <w:rsid w:val="000E5AA9"/>
    <w:rsid w:val="00113581"/>
    <w:rsid w:val="00180F24"/>
    <w:rsid w:val="001B560A"/>
    <w:rsid w:val="001F726E"/>
    <w:rsid w:val="0020093E"/>
    <w:rsid w:val="00201AE4"/>
    <w:rsid w:val="002125B3"/>
    <w:rsid w:val="002137CF"/>
    <w:rsid w:val="002452C3"/>
    <w:rsid w:val="00262CE3"/>
    <w:rsid w:val="00294AD6"/>
    <w:rsid w:val="002B55C4"/>
    <w:rsid w:val="002D2E5E"/>
    <w:rsid w:val="002D6B1C"/>
    <w:rsid w:val="002E2405"/>
    <w:rsid w:val="002F4AB7"/>
    <w:rsid w:val="002F73CF"/>
    <w:rsid w:val="00300A92"/>
    <w:rsid w:val="00316AFC"/>
    <w:rsid w:val="00356586"/>
    <w:rsid w:val="003661C3"/>
    <w:rsid w:val="003738C3"/>
    <w:rsid w:val="00381378"/>
    <w:rsid w:val="003934F5"/>
    <w:rsid w:val="0039790A"/>
    <w:rsid w:val="003B0AB9"/>
    <w:rsid w:val="003C710F"/>
    <w:rsid w:val="003C7C44"/>
    <w:rsid w:val="003D1E82"/>
    <w:rsid w:val="003D3F7E"/>
    <w:rsid w:val="003D7F91"/>
    <w:rsid w:val="004270DB"/>
    <w:rsid w:val="00453CA3"/>
    <w:rsid w:val="00453D6D"/>
    <w:rsid w:val="004554FE"/>
    <w:rsid w:val="00487AA5"/>
    <w:rsid w:val="004F232E"/>
    <w:rsid w:val="004F5E65"/>
    <w:rsid w:val="00543E0B"/>
    <w:rsid w:val="0054735B"/>
    <w:rsid w:val="005509B9"/>
    <w:rsid w:val="0056048D"/>
    <w:rsid w:val="0057539F"/>
    <w:rsid w:val="00576689"/>
    <w:rsid w:val="005A221A"/>
    <w:rsid w:val="005B2394"/>
    <w:rsid w:val="005C7CF0"/>
    <w:rsid w:val="005E02D8"/>
    <w:rsid w:val="006217AA"/>
    <w:rsid w:val="00623135"/>
    <w:rsid w:val="00640F40"/>
    <w:rsid w:val="00643B60"/>
    <w:rsid w:val="00687515"/>
    <w:rsid w:val="006C3D31"/>
    <w:rsid w:val="006C3F63"/>
    <w:rsid w:val="006E66DD"/>
    <w:rsid w:val="006F1048"/>
    <w:rsid w:val="007151EC"/>
    <w:rsid w:val="007668C6"/>
    <w:rsid w:val="007C273F"/>
    <w:rsid w:val="00802F5B"/>
    <w:rsid w:val="00815FDE"/>
    <w:rsid w:val="0085606F"/>
    <w:rsid w:val="008C515C"/>
    <w:rsid w:val="008F031E"/>
    <w:rsid w:val="00911E07"/>
    <w:rsid w:val="00925700"/>
    <w:rsid w:val="0095362C"/>
    <w:rsid w:val="0096022D"/>
    <w:rsid w:val="009A242C"/>
    <w:rsid w:val="009C2BD7"/>
    <w:rsid w:val="009C4DB2"/>
    <w:rsid w:val="009C7609"/>
    <w:rsid w:val="009E3D42"/>
    <w:rsid w:val="009E4B26"/>
    <w:rsid w:val="00A00299"/>
    <w:rsid w:val="00A12C6E"/>
    <w:rsid w:val="00A33930"/>
    <w:rsid w:val="00A42660"/>
    <w:rsid w:val="00A56879"/>
    <w:rsid w:val="00A7776A"/>
    <w:rsid w:val="00AB34ED"/>
    <w:rsid w:val="00AF6C65"/>
    <w:rsid w:val="00B1353C"/>
    <w:rsid w:val="00B33B68"/>
    <w:rsid w:val="00B51985"/>
    <w:rsid w:val="00B7156B"/>
    <w:rsid w:val="00B84196"/>
    <w:rsid w:val="00B8661F"/>
    <w:rsid w:val="00B925E0"/>
    <w:rsid w:val="00BA5946"/>
    <w:rsid w:val="00BB4366"/>
    <w:rsid w:val="00BE0DFB"/>
    <w:rsid w:val="00C0520D"/>
    <w:rsid w:val="00C16205"/>
    <w:rsid w:val="00C35209"/>
    <w:rsid w:val="00C559E4"/>
    <w:rsid w:val="00C64434"/>
    <w:rsid w:val="00CB564D"/>
    <w:rsid w:val="00CC177E"/>
    <w:rsid w:val="00CE3ACD"/>
    <w:rsid w:val="00D07270"/>
    <w:rsid w:val="00D23F68"/>
    <w:rsid w:val="00D46AA8"/>
    <w:rsid w:val="00D53D0B"/>
    <w:rsid w:val="00D66011"/>
    <w:rsid w:val="00DB6708"/>
    <w:rsid w:val="00DF2458"/>
    <w:rsid w:val="00E042B1"/>
    <w:rsid w:val="00E1240E"/>
    <w:rsid w:val="00E244EE"/>
    <w:rsid w:val="00E25B76"/>
    <w:rsid w:val="00E2628E"/>
    <w:rsid w:val="00E54B74"/>
    <w:rsid w:val="00E67A27"/>
    <w:rsid w:val="00EB6799"/>
    <w:rsid w:val="00EC3618"/>
    <w:rsid w:val="00ED4A2F"/>
    <w:rsid w:val="00F028EE"/>
    <w:rsid w:val="00F33B25"/>
    <w:rsid w:val="00FA124B"/>
    <w:rsid w:val="00FB609E"/>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802F5B"/>
    <w:pPr>
      <w:keepNext/>
      <w:keepLines/>
      <w:numPr>
        <w:numId w:val="3"/>
      </w:numPr>
      <w:spacing w:before="480" w:after="0" w:line="240" w:lineRule="auto"/>
      <w:jc w:val="both"/>
      <w:outlineLvl w:val="0"/>
    </w:pPr>
    <w:rPr>
      <w:rFonts w:ascii="Trebuchet MS" w:eastAsia="@헤드라인A" w:hAnsi="Trebuchet MS" w:cs="Times New Roman"/>
      <w:b/>
      <w:bCs/>
      <w:color w:val="345A8A"/>
      <w:sz w:val="28"/>
      <w:szCs w:val="32"/>
    </w:rPr>
  </w:style>
  <w:style w:type="paragraph" w:styleId="Heading2">
    <w:name w:val="heading 2"/>
    <w:basedOn w:val="Normal"/>
    <w:next w:val="Normal"/>
    <w:link w:val="Heading2Char"/>
    <w:uiPriority w:val="9"/>
    <w:unhideWhenUsed/>
    <w:qFormat/>
    <w:rsid w:val="00E244EE"/>
    <w:pPr>
      <w:keepNext/>
      <w:keepLines/>
      <w:numPr>
        <w:ilvl w:val="1"/>
        <w:numId w:val="3"/>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3"/>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3"/>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3"/>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3"/>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3"/>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3"/>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3"/>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1"/>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aliases w:val="TSB Headings Char"/>
    <w:basedOn w:val="DefaultParagraphFont"/>
    <w:link w:val="Heading1"/>
    <w:uiPriority w:val="9"/>
    <w:rsid w:val="00802F5B"/>
    <w:rPr>
      <w:rFonts w:ascii="Trebuchet MS" w:eastAsia="@헤드라인A" w:hAnsi="Trebuchet MS" w:cs="Times New Roman"/>
      <w:b/>
      <w:bCs/>
      <w:color w:val="345A8A"/>
      <w:sz w:val="28"/>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 w:type="paragraph" w:styleId="TOCHeading">
    <w:name w:val="TOC Heading"/>
    <w:basedOn w:val="Heading1"/>
    <w:next w:val="Normal"/>
    <w:uiPriority w:val="39"/>
    <w:semiHidden/>
    <w:unhideWhenUsed/>
    <w:qFormat/>
    <w:rsid w:val="009E4B26"/>
    <w:pPr>
      <w:numPr>
        <w:numId w:val="0"/>
      </w:numPr>
      <w:spacing w:line="276" w:lineRule="auto"/>
      <w:jc w:val="left"/>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4B26"/>
    <w:pPr>
      <w:spacing w:after="100"/>
    </w:pPr>
  </w:style>
  <w:style w:type="character" w:styleId="Hyperlink">
    <w:name w:val="Hyperlink"/>
    <w:basedOn w:val="DefaultParagraphFont"/>
    <w:uiPriority w:val="99"/>
    <w:unhideWhenUsed/>
    <w:rsid w:val="009E4B26"/>
    <w:rPr>
      <w:color w:val="0000FF" w:themeColor="hyperlink"/>
      <w:u w:val="single"/>
    </w:rPr>
  </w:style>
  <w:style w:type="character" w:styleId="FollowedHyperlink">
    <w:name w:val="FollowedHyperlink"/>
    <w:basedOn w:val="DefaultParagraphFont"/>
    <w:uiPriority w:val="99"/>
    <w:semiHidden/>
    <w:unhideWhenUsed/>
    <w:rsid w:val="00687515"/>
    <w:rPr>
      <w:color w:val="800080" w:themeColor="followedHyperlink"/>
      <w:u w:val="single"/>
    </w:rPr>
  </w:style>
  <w:style w:type="table" w:styleId="TableGrid">
    <w:name w:val="Table Grid"/>
    <w:basedOn w:val="TableNormal"/>
    <w:uiPriority w:val="59"/>
    <w:rsid w:val="0039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Bullet">
    <w:name w:val="Table Sub Bullet"/>
    <w:basedOn w:val="Normal"/>
    <w:rsid w:val="00300A92"/>
    <w:pPr>
      <w:numPr>
        <w:numId w:val="7"/>
      </w:numPr>
    </w:pPr>
  </w:style>
  <w:style w:type="paragraph" w:customStyle="1" w:styleId="TSB-PolicyBullets">
    <w:name w:val="TSB - Policy Bullets"/>
    <w:basedOn w:val="ListParagraph"/>
    <w:link w:val="TSB-PolicyBulletsChar"/>
    <w:autoRedefine/>
    <w:qFormat/>
    <w:rsid w:val="00911E07"/>
    <w:pPr>
      <w:numPr>
        <w:numId w:val="10"/>
      </w:numPr>
      <w:spacing w:before="200"/>
      <w:ind w:left="1491" w:hanging="73"/>
    </w:pPr>
  </w:style>
  <w:style w:type="character" w:customStyle="1" w:styleId="TSB-PolicyBulletsChar">
    <w:name w:val="TSB - Policy Bullets Char"/>
    <w:basedOn w:val="DefaultParagraphFont"/>
    <w:link w:val="TSB-PolicyBullets"/>
    <w:rsid w:val="00911E07"/>
  </w:style>
  <w:style w:type="paragraph" w:customStyle="1" w:styleId="TSB-Level1Numbers">
    <w:name w:val="TSB - Level 1 Numbers"/>
    <w:basedOn w:val="Heading1"/>
    <w:link w:val="TSB-Level1NumbersChar"/>
    <w:qFormat/>
    <w:rsid w:val="004F5E65"/>
    <w:pPr>
      <w:keepNext w:val="0"/>
      <w:keepLines w:val="0"/>
      <w:numPr>
        <w:numId w:val="0"/>
      </w:numPr>
      <w:spacing w:before="0" w:after="200" w:line="276" w:lineRule="auto"/>
      <w:ind w:left="1480" w:hanging="482"/>
    </w:pPr>
    <w:rPr>
      <w:rFonts w:asciiTheme="majorHAnsi" w:eastAsiaTheme="minorHAnsi" w:hAnsiTheme="majorHAnsi" w:cstheme="minorHAnsi"/>
      <w:b w:val="0"/>
      <w:bCs w:val="0"/>
      <w:color w:val="auto"/>
      <w:sz w:val="22"/>
    </w:rPr>
  </w:style>
  <w:style w:type="paragraph" w:customStyle="1" w:styleId="TSB-Level2Numbers">
    <w:name w:val="TSB - Level 2 Numbers"/>
    <w:basedOn w:val="TSB-Level1Numbers"/>
    <w:autoRedefine/>
    <w:qFormat/>
    <w:rsid w:val="004F5E65"/>
    <w:pPr>
      <w:ind w:left="720" w:hanging="720"/>
    </w:pPr>
  </w:style>
  <w:style w:type="character" w:customStyle="1" w:styleId="TSB-Level1NumbersChar">
    <w:name w:val="TSB - Level 1 Numbers Char"/>
    <w:basedOn w:val="DefaultParagraphFont"/>
    <w:link w:val="TSB-Level1Numbers"/>
    <w:rsid w:val="004F5E65"/>
    <w:rPr>
      <w:rFonts w:asciiTheme="majorHAnsi" w:hAnsiTheme="majorHAnsi" w:cstheme="minorHAnsi"/>
      <w:szCs w:val="32"/>
    </w:rPr>
  </w:style>
  <w:style w:type="paragraph" w:styleId="Title">
    <w:name w:val="Title"/>
    <w:basedOn w:val="Normal"/>
    <w:next w:val="Normal"/>
    <w:link w:val="TitleChar"/>
    <w:uiPriority w:val="10"/>
    <w:qFormat/>
    <w:rsid w:val="00802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F5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802F5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802F5B"/>
    <w:pPr>
      <w:keepNext/>
      <w:keepLines/>
      <w:numPr>
        <w:numId w:val="3"/>
      </w:numPr>
      <w:spacing w:before="480" w:after="0" w:line="240" w:lineRule="auto"/>
      <w:jc w:val="both"/>
      <w:outlineLvl w:val="0"/>
    </w:pPr>
    <w:rPr>
      <w:rFonts w:ascii="Trebuchet MS" w:eastAsia="@헤드라인A" w:hAnsi="Trebuchet MS" w:cs="Times New Roman"/>
      <w:b/>
      <w:bCs/>
      <w:color w:val="345A8A"/>
      <w:sz w:val="28"/>
      <w:szCs w:val="32"/>
    </w:rPr>
  </w:style>
  <w:style w:type="paragraph" w:styleId="Heading2">
    <w:name w:val="heading 2"/>
    <w:basedOn w:val="Normal"/>
    <w:next w:val="Normal"/>
    <w:link w:val="Heading2Char"/>
    <w:uiPriority w:val="9"/>
    <w:unhideWhenUsed/>
    <w:qFormat/>
    <w:rsid w:val="00E244EE"/>
    <w:pPr>
      <w:keepNext/>
      <w:keepLines/>
      <w:numPr>
        <w:ilvl w:val="1"/>
        <w:numId w:val="3"/>
      </w:numPr>
      <w:spacing w:before="200" w:after="0" w:line="240" w:lineRule="auto"/>
      <w:jc w:val="both"/>
      <w:outlineLvl w:val="1"/>
    </w:pPr>
    <w:rPr>
      <w:rFonts w:ascii="Arial" w:eastAsia="@헤드라인A"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E244EE"/>
    <w:pPr>
      <w:keepNext/>
      <w:keepLines/>
      <w:numPr>
        <w:ilvl w:val="2"/>
        <w:numId w:val="3"/>
      </w:numPr>
      <w:spacing w:before="200" w:after="0" w:line="240" w:lineRule="auto"/>
      <w:jc w:val="both"/>
      <w:outlineLvl w:val="2"/>
    </w:pPr>
    <w:rPr>
      <w:rFonts w:ascii="@헤드라인A" w:eastAsia="@헤드라인A" w:hAnsi="@헤드라인A" w:cs="Times New Roman"/>
      <w:b/>
      <w:bCs/>
      <w:color w:val="4F81BD"/>
      <w:sz w:val="24"/>
      <w:szCs w:val="24"/>
    </w:rPr>
  </w:style>
  <w:style w:type="paragraph" w:styleId="Heading4">
    <w:name w:val="heading 4"/>
    <w:basedOn w:val="Normal"/>
    <w:next w:val="Normal"/>
    <w:link w:val="Heading4Char"/>
    <w:uiPriority w:val="9"/>
    <w:semiHidden/>
    <w:unhideWhenUsed/>
    <w:qFormat/>
    <w:rsid w:val="00E244EE"/>
    <w:pPr>
      <w:keepNext/>
      <w:keepLines/>
      <w:numPr>
        <w:ilvl w:val="3"/>
        <w:numId w:val="3"/>
      </w:numPr>
      <w:spacing w:before="200" w:after="0" w:line="240" w:lineRule="auto"/>
      <w:jc w:val="both"/>
      <w:outlineLvl w:val="3"/>
    </w:pPr>
    <w:rPr>
      <w:rFonts w:ascii="@헤드라인A" w:eastAsia="@헤드라인A" w:hAnsi="@헤드라인A" w:cs="Times New Roman"/>
      <w:b/>
      <w:bCs/>
      <w:i/>
      <w:iCs/>
      <w:color w:val="4F81BD"/>
      <w:sz w:val="24"/>
      <w:szCs w:val="24"/>
    </w:rPr>
  </w:style>
  <w:style w:type="paragraph" w:styleId="Heading5">
    <w:name w:val="heading 5"/>
    <w:basedOn w:val="Normal"/>
    <w:next w:val="Normal"/>
    <w:link w:val="Heading5Char"/>
    <w:uiPriority w:val="9"/>
    <w:semiHidden/>
    <w:unhideWhenUsed/>
    <w:qFormat/>
    <w:rsid w:val="00E244EE"/>
    <w:pPr>
      <w:keepNext/>
      <w:keepLines/>
      <w:numPr>
        <w:ilvl w:val="4"/>
        <w:numId w:val="3"/>
      </w:numPr>
      <w:spacing w:before="200" w:after="0" w:line="240" w:lineRule="auto"/>
      <w:jc w:val="both"/>
      <w:outlineLvl w:val="4"/>
    </w:pPr>
    <w:rPr>
      <w:rFonts w:ascii="@헤드라인A" w:eastAsia="@헤드라인A" w:hAnsi="@헤드라인A" w:cs="Times New Roman"/>
      <w:color w:val="243F60"/>
      <w:sz w:val="24"/>
      <w:szCs w:val="24"/>
    </w:rPr>
  </w:style>
  <w:style w:type="paragraph" w:styleId="Heading6">
    <w:name w:val="heading 6"/>
    <w:basedOn w:val="Normal"/>
    <w:next w:val="Normal"/>
    <w:link w:val="Heading6Char"/>
    <w:uiPriority w:val="9"/>
    <w:semiHidden/>
    <w:unhideWhenUsed/>
    <w:qFormat/>
    <w:rsid w:val="00E244EE"/>
    <w:pPr>
      <w:keepNext/>
      <w:keepLines/>
      <w:numPr>
        <w:ilvl w:val="5"/>
        <w:numId w:val="3"/>
      </w:numPr>
      <w:spacing w:before="200" w:after="0" w:line="240" w:lineRule="auto"/>
      <w:jc w:val="both"/>
      <w:outlineLvl w:val="5"/>
    </w:pPr>
    <w:rPr>
      <w:rFonts w:ascii="@헤드라인A" w:eastAsia="@헤드라인A" w:hAnsi="@헤드라인A" w:cs="Times New Roman"/>
      <w:i/>
      <w:iCs/>
      <w:color w:val="243F60"/>
      <w:sz w:val="24"/>
      <w:szCs w:val="24"/>
    </w:rPr>
  </w:style>
  <w:style w:type="paragraph" w:styleId="Heading7">
    <w:name w:val="heading 7"/>
    <w:basedOn w:val="Normal"/>
    <w:next w:val="Normal"/>
    <w:link w:val="Heading7Char"/>
    <w:uiPriority w:val="9"/>
    <w:semiHidden/>
    <w:unhideWhenUsed/>
    <w:qFormat/>
    <w:rsid w:val="00E244EE"/>
    <w:pPr>
      <w:keepNext/>
      <w:keepLines/>
      <w:numPr>
        <w:ilvl w:val="6"/>
        <w:numId w:val="3"/>
      </w:numPr>
      <w:spacing w:before="200" w:after="0" w:line="240" w:lineRule="auto"/>
      <w:jc w:val="both"/>
      <w:outlineLvl w:val="6"/>
    </w:pPr>
    <w:rPr>
      <w:rFonts w:ascii="@헤드라인A" w:eastAsia="@헤드라인A" w:hAnsi="@헤드라인A" w:cs="Times New Roman"/>
      <w:i/>
      <w:iCs/>
      <w:color w:val="404040"/>
      <w:sz w:val="24"/>
      <w:szCs w:val="24"/>
    </w:rPr>
  </w:style>
  <w:style w:type="paragraph" w:styleId="Heading8">
    <w:name w:val="heading 8"/>
    <w:basedOn w:val="Normal"/>
    <w:next w:val="Normal"/>
    <w:link w:val="Heading8Char"/>
    <w:uiPriority w:val="9"/>
    <w:semiHidden/>
    <w:unhideWhenUsed/>
    <w:qFormat/>
    <w:rsid w:val="00E244EE"/>
    <w:pPr>
      <w:keepNext/>
      <w:keepLines/>
      <w:numPr>
        <w:ilvl w:val="7"/>
        <w:numId w:val="3"/>
      </w:numPr>
      <w:spacing w:before="200" w:after="0" w:line="240" w:lineRule="auto"/>
      <w:jc w:val="both"/>
      <w:outlineLvl w:val="7"/>
    </w:pPr>
    <w:rPr>
      <w:rFonts w:ascii="@헤드라인A" w:eastAsia="@헤드라인A" w:hAnsi="@헤드라인A" w:cs="Times New Roman"/>
      <w:color w:val="404040"/>
      <w:sz w:val="20"/>
      <w:szCs w:val="20"/>
    </w:rPr>
  </w:style>
  <w:style w:type="paragraph" w:styleId="Heading9">
    <w:name w:val="heading 9"/>
    <w:basedOn w:val="Normal"/>
    <w:next w:val="Normal"/>
    <w:link w:val="Heading9Char"/>
    <w:uiPriority w:val="9"/>
    <w:semiHidden/>
    <w:unhideWhenUsed/>
    <w:qFormat/>
    <w:rsid w:val="00E244EE"/>
    <w:pPr>
      <w:keepNext/>
      <w:keepLines/>
      <w:numPr>
        <w:ilvl w:val="8"/>
        <w:numId w:val="3"/>
      </w:numPr>
      <w:spacing w:before="200" w:after="0" w:line="240" w:lineRule="auto"/>
      <w:jc w:val="both"/>
      <w:outlineLvl w:val="8"/>
    </w:pPr>
    <w:rPr>
      <w:rFonts w:ascii="@헤드라인A" w:eastAsia="@헤드라인A" w:hAnsi="@헤드라인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1C3"/>
    <w:pPr>
      <w:ind w:left="720"/>
      <w:contextualSpacing/>
    </w:pPr>
  </w:style>
  <w:style w:type="paragraph" w:styleId="Header">
    <w:name w:val="header"/>
    <w:basedOn w:val="Normal"/>
    <w:link w:val="HeaderChar"/>
    <w:uiPriority w:val="99"/>
    <w:unhideWhenUsed/>
    <w:rsid w:val="0021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CF"/>
  </w:style>
  <w:style w:type="paragraph" w:styleId="Footer">
    <w:name w:val="footer"/>
    <w:basedOn w:val="Normal"/>
    <w:link w:val="FooterChar"/>
    <w:uiPriority w:val="99"/>
    <w:unhideWhenUsed/>
    <w:rsid w:val="0021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CF"/>
  </w:style>
  <w:style w:type="paragraph" w:styleId="BalloonText">
    <w:name w:val="Balloon Text"/>
    <w:basedOn w:val="Normal"/>
    <w:link w:val="BalloonTextChar"/>
    <w:uiPriority w:val="99"/>
    <w:semiHidden/>
    <w:unhideWhenUsed/>
    <w:rsid w:val="00CE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CD"/>
    <w:rPr>
      <w:rFonts w:ascii="Tahoma" w:hAnsi="Tahoma" w:cs="Tahoma"/>
      <w:sz w:val="16"/>
      <w:szCs w:val="16"/>
    </w:rPr>
  </w:style>
  <w:style w:type="paragraph" w:customStyle="1" w:styleId="BodyText1">
    <w:name w:val="Body Text1"/>
    <w:basedOn w:val="Normal"/>
    <w:rsid w:val="00453D6D"/>
    <w:pPr>
      <w:numPr>
        <w:numId w:val="1"/>
      </w:numPr>
      <w:tabs>
        <w:tab w:val="num" w:pos="709"/>
      </w:tabs>
      <w:spacing w:after="240" w:line="240" w:lineRule="auto"/>
      <w:ind w:left="709" w:hanging="709"/>
      <w:jc w:val="both"/>
    </w:pPr>
    <w:rPr>
      <w:rFonts w:ascii="Arial" w:eastAsia="Times" w:hAnsi="Arial" w:cs="Times New Roman"/>
      <w:sz w:val="24"/>
      <w:szCs w:val="20"/>
    </w:rPr>
  </w:style>
  <w:style w:type="paragraph" w:styleId="BodyText">
    <w:name w:val="Body Text"/>
    <w:basedOn w:val="Normal"/>
    <w:link w:val="BodyTextChar"/>
    <w:uiPriority w:val="1"/>
    <w:qFormat/>
    <w:rsid w:val="00044E1F"/>
    <w:pPr>
      <w:widowControl w:val="0"/>
      <w:spacing w:after="0" w:line="240" w:lineRule="auto"/>
      <w:ind w:left="100"/>
    </w:pPr>
    <w:rPr>
      <w:rFonts w:ascii="Arial" w:eastAsia="Calibri" w:hAnsi="Arial"/>
      <w:lang w:val="en-US"/>
    </w:rPr>
  </w:style>
  <w:style w:type="character" w:customStyle="1" w:styleId="BodyTextChar">
    <w:name w:val="Body Text Char"/>
    <w:basedOn w:val="DefaultParagraphFont"/>
    <w:link w:val="BodyText"/>
    <w:uiPriority w:val="1"/>
    <w:rsid w:val="00044E1F"/>
    <w:rPr>
      <w:rFonts w:ascii="Arial" w:eastAsia="Calibri" w:hAnsi="Arial"/>
      <w:lang w:val="en-US"/>
    </w:rPr>
  </w:style>
  <w:style w:type="character" w:customStyle="1" w:styleId="Heading1Char">
    <w:name w:val="Heading 1 Char"/>
    <w:aliases w:val="TSB Headings Char"/>
    <w:basedOn w:val="DefaultParagraphFont"/>
    <w:link w:val="Heading1"/>
    <w:uiPriority w:val="9"/>
    <w:rsid w:val="00802F5B"/>
    <w:rPr>
      <w:rFonts w:ascii="Trebuchet MS" w:eastAsia="@헤드라인A" w:hAnsi="Trebuchet MS" w:cs="Times New Roman"/>
      <w:b/>
      <w:bCs/>
      <w:color w:val="345A8A"/>
      <w:sz w:val="28"/>
      <w:szCs w:val="32"/>
    </w:rPr>
  </w:style>
  <w:style w:type="character" w:customStyle="1" w:styleId="Heading2Char">
    <w:name w:val="Heading 2 Char"/>
    <w:basedOn w:val="DefaultParagraphFont"/>
    <w:link w:val="Heading2"/>
    <w:uiPriority w:val="9"/>
    <w:rsid w:val="00E244EE"/>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E244EE"/>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E244EE"/>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E244EE"/>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E244EE"/>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E244EE"/>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E244EE"/>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E244EE"/>
    <w:rPr>
      <w:rFonts w:ascii="@헤드라인A" w:eastAsia="@헤드라인A" w:hAnsi="@헤드라인A" w:cs="Times New Roman"/>
      <w:i/>
      <w:iCs/>
      <w:color w:val="404040"/>
      <w:sz w:val="20"/>
      <w:szCs w:val="20"/>
    </w:rPr>
  </w:style>
  <w:style w:type="paragraph" w:styleId="TOCHeading">
    <w:name w:val="TOC Heading"/>
    <w:basedOn w:val="Heading1"/>
    <w:next w:val="Normal"/>
    <w:uiPriority w:val="39"/>
    <w:semiHidden/>
    <w:unhideWhenUsed/>
    <w:qFormat/>
    <w:rsid w:val="009E4B26"/>
    <w:pPr>
      <w:numPr>
        <w:numId w:val="0"/>
      </w:numPr>
      <w:spacing w:line="276" w:lineRule="auto"/>
      <w:jc w:val="left"/>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4B26"/>
    <w:pPr>
      <w:spacing w:after="100"/>
    </w:pPr>
  </w:style>
  <w:style w:type="character" w:styleId="Hyperlink">
    <w:name w:val="Hyperlink"/>
    <w:basedOn w:val="DefaultParagraphFont"/>
    <w:uiPriority w:val="99"/>
    <w:unhideWhenUsed/>
    <w:rsid w:val="009E4B26"/>
    <w:rPr>
      <w:color w:val="0000FF" w:themeColor="hyperlink"/>
      <w:u w:val="single"/>
    </w:rPr>
  </w:style>
  <w:style w:type="character" w:styleId="FollowedHyperlink">
    <w:name w:val="FollowedHyperlink"/>
    <w:basedOn w:val="DefaultParagraphFont"/>
    <w:uiPriority w:val="99"/>
    <w:semiHidden/>
    <w:unhideWhenUsed/>
    <w:rsid w:val="00687515"/>
    <w:rPr>
      <w:color w:val="800080" w:themeColor="followedHyperlink"/>
      <w:u w:val="single"/>
    </w:rPr>
  </w:style>
  <w:style w:type="table" w:styleId="TableGrid">
    <w:name w:val="Table Grid"/>
    <w:basedOn w:val="TableNormal"/>
    <w:uiPriority w:val="59"/>
    <w:rsid w:val="0039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Bullet">
    <w:name w:val="Table Sub Bullet"/>
    <w:basedOn w:val="Normal"/>
    <w:rsid w:val="00300A92"/>
    <w:pPr>
      <w:numPr>
        <w:numId w:val="7"/>
      </w:numPr>
    </w:pPr>
  </w:style>
  <w:style w:type="paragraph" w:customStyle="1" w:styleId="TSB-PolicyBullets">
    <w:name w:val="TSB - Policy Bullets"/>
    <w:basedOn w:val="ListParagraph"/>
    <w:link w:val="TSB-PolicyBulletsChar"/>
    <w:autoRedefine/>
    <w:qFormat/>
    <w:rsid w:val="00911E07"/>
    <w:pPr>
      <w:numPr>
        <w:numId w:val="10"/>
      </w:numPr>
      <w:spacing w:before="200"/>
      <w:ind w:left="1491" w:hanging="73"/>
    </w:pPr>
  </w:style>
  <w:style w:type="character" w:customStyle="1" w:styleId="TSB-PolicyBulletsChar">
    <w:name w:val="TSB - Policy Bullets Char"/>
    <w:basedOn w:val="DefaultParagraphFont"/>
    <w:link w:val="TSB-PolicyBullets"/>
    <w:rsid w:val="00911E07"/>
  </w:style>
  <w:style w:type="paragraph" w:customStyle="1" w:styleId="TSB-Level1Numbers">
    <w:name w:val="TSB - Level 1 Numbers"/>
    <w:basedOn w:val="Heading1"/>
    <w:link w:val="TSB-Level1NumbersChar"/>
    <w:qFormat/>
    <w:rsid w:val="004F5E65"/>
    <w:pPr>
      <w:keepNext w:val="0"/>
      <w:keepLines w:val="0"/>
      <w:numPr>
        <w:numId w:val="0"/>
      </w:numPr>
      <w:spacing w:before="0" w:after="200" w:line="276" w:lineRule="auto"/>
      <w:ind w:left="1480" w:hanging="482"/>
    </w:pPr>
    <w:rPr>
      <w:rFonts w:asciiTheme="majorHAnsi" w:eastAsiaTheme="minorHAnsi" w:hAnsiTheme="majorHAnsi" w:cstheme="minorHAnsi"/>
      <w:b w:val="0"/>
      <w:bCs w:val="0"/>
      <w:color w:val="auto"/>
      <w:sz w:val="22"/>
    </w:rPr>
  </w:style>
  <w:style w:type="paragraph" w:customStyle="1" w:styleId="TSB-Level2Numbers">
    <w:name w:val="TSB - Level 2 Numbers"/>
    <w:basedOn w:val="TSB-Level1Numbers"/>
    <w:autoRedefine/>
    <w:qFormat/>
    <w:rsid w:val="004F5E65"/>
    <w:pPr>
      <w:ind w:left="720" w:hanging="720"/>
    </w:pPr>
  </w:style>
  <w:style w:type="character" w:customStyle="1" w:styleId="TSB-Level1NumbersChar">
    <w:name w:val="TSB - Level 1 Numbers Char"/>
    <w:basedOn w:val="DefaultParagraphFont"/>
    <w:link w:val="TSB-Level1Numbers"/>
    <w:rsid w:val="004F5E65"/>
    <w:rPr>
      <w:rFonts w:asciiTheme="majorHAnsi" w:hAnsiTheme="majorHAnsi" w:cstheme="minorHAnsi"/>
      <w:szCs w:val="32"/>
    </w:rPr>
  </w:style>
  <w:style w:type="paragraph" w:styleId="Title">
    <w:name w:val="Title"/>
    <w:basedOn w:val="Normal"/>
    <w:next w:val="Normal"/>
    <w:link w:val="TitleChar"/>
    <w:uiPriority w:val="10"/>
    <w:qFormat/>
    <w:rsid w:val="00802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F5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802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0250">
      <w:bodyDiv w:val="1"/>
      <w:marLeft w:val="0"/>
      <w:marRight w:val="0"/>
      <w:marTop w:val="0"/>
      <w:marBottom w:val="0"/>
      <w:divBdr>
        <w:top w:val="none" w:sz="0" w:space="0" w:color="auto"/>
        <w:left w:val="none" w:sz="0" w:space="0" w:color="auto"/>
        <w:bottom w:val="none" w:sz="0" w:space="0" w:color="auto"/>
        <w:right w:val="none" w:sz="0" w:space="0" w:color="auto"/>
      </w:divBdr>
    </w:div>
    <w:div w:id="657416928">
      <w:bodyDiv w:val="1"/>
      <w:marLeft w:val="0"/>
      <w:marRight w:val="0"/>
      <w:marTop w:val="0"/>
      <w:marBottom w:val="0"/>
      <w:divBdr>
        <w:top w:val="none" w:sz="0" w:space="0" w:color="auto"/>
        <w:left w:val="none" w:sz="0" w:space="0" w:color="auto"/>
        <w:bottom w:val="none" w:sz="0" w:space="0" w:color="auto"/>
        <w:right w:val="none" w:sz="0" w:space="0" w:color="auto"/>
      </w:divBdr>
      <w:divsChild>
        <w:div w:id="1035621029">
          <w:marLeft w:val="0"/>
          <w:marRight w:val="0"/>
          <w:marTop w:val="0"/>
          <w:marBottom w:val="0"/>
          <w:divBdr>
            <w:top w:val="none" w:sz="0" w:space="0" w:color="auto"/>
            <w:left w:val="none" w:sz="0" w:space="0" w:color="auto"/>
            <w:bottom w:val="none" w:sz="0" w:space="0" w:color="auto"/>
            <w:right w:val="none" w:sz="0" w:space="0" w:color="auto"/>
          </w:divBdr>
          <w:divsChild>
            <w:div w:id="745885036">
              <w:marLeft w:val="0"/>
              <w:marRight w:val="0"/>
              <w:marTop w:val="0"/>
              <w:marBottom w:val="0"/>
              <w:divBdr>
                <w:top w:val="none" w:sz="0" w:space="0" w:color="auto"/>
                <w:left w:val="none" w:sz="0" w:space="0" w:color="auto"/>
                <w:bottom w:val="none" w:sz="0" w:space="0" w:color="auto"/>
                <w:right w:val="none" w:sz="0" w:space="0" w:color="auto"/>
              </w:divBdr>
              <w:divsChild>
                <w:div w:id="1573931174">
                  <w:marLeft w:val="0"/>
                  <w:marRight w:val="0"/>
                  <w:marTop w:val="0"/>
                  <w:marBottom w:val="0"/>
                  <w:divBdr>
                    <w:top w:val="none" w:sz="0" w:space="0" w:color="auto"/>
                    <w:left w:val="none" w:sz="0" w:space="0" w:color="auto"/>
                    <w:bottom w:val="none" w:sz="0" w:space="0" w:color="auto"/>
                    <w:right w:val="none" w:sz="0" w:space="0" w:color="auto"/>
                  </w:divBdr>
                  <w:divsChild>
                    <w:div w:id="1381905000">
                      <w:marLeft w:val="0"/>
                      <w:marRight w:val="0"/>
                      <w:marTop w:val="0"/>
                      <w:marBottom w:val="0"/>
                      <w:divBdr>
                        <w:top w:val="none" w:sz="0" w:space="0" w:color="auto"/>
                        <w:left w:val="none" w:sz="0" w:space="0" w:color="auto"/>
                        <w:bottom w:val="none" w:sz="0" w:space="0" w:color="auto"/>
                        <w:right w:val="none" w:sz="0" w:space="0" w:color="auto"/>
                      </w:divBdr>
                      <w:divsChild>
                        <w:div w:id="175079065">
                          <w:marLeft w:val="0"/>
                          <w:marRight w:val="0"/>
                          <w:marTop w:val="0"/>
                          <w:marBottom w:val="0"/>
                          <w:divBdr>
                            <w:top w:val="none" w:sz="0" w:space="0" w:color="auto"/>
                            <w:left w:val="none" w:sz="0" w:space="0" w:color="auto"/>
                            <w:bottom w:val="none" w:sz="0" w:space="0" w:color="auto"/>
                            <w:right w:val="none" w:sz="0" w:space="0" w:color="auto"/>
                          </w:divBdr>
                          <w:divsChild>
                            <w:div w:id="301470918">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8842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872076">
      <w:bodyDiv w:val="1"/>
      <w:marLeft w:val="0"/>
      <w:marRight w:val="0"/>
      <w:marTop w:val="0"/>
      <w:marBottom w:val="0"/>
      <w:divBdr>
        <w:top w:val="none" w:sz="0" w:space="0" w:color="auto"/>
        <w:left w:val="none" w:sz="0" w:space="0" w:color="auto"/>
        <w:bottom w:val="none" w:sz="0" w:space="0" w:color="auto"/>
        <w:right w:val="none" w:sz="0" w:space="0" w:color="auto"/>
      </w:divBdr>
    </w:div>
    <w:div w:id="1029182451">
      <w:bodyDiv w:val="1"/>
      <w:marLeft w:val="0"/>
      <w:marRight w:val="0"/>
      <w:marTop w:val="0"/>
      <w:marBottom w:val="0"/>
      <w:divBdr>
        <w:top w:val="none" w:sz="0" w:space="0" w:color="auto"/>
        <w:left w:val="none" w:sz="0" w:space="0" w:color="auto"/>
        <w:bottom w:val="none" w:sz="0" w:space="0" w:color="auto"/>
        <w:right w:val="none" w:sz="0" w:space="0" w:color="auto"/>
      </w:divBdr>
      <w:divsChild>
        <w:div w:id="91359354">
          <w:marLeft w:val="0"/>
          <w:marRight w:val="0"/>
          <w:marTop w:val="0"/>
          <w:marBottom w:val="0"/>
          <w:divBdr>
            <w:top w:val="none" w:sz="0" w:space="0" w:color="auto"/>
            <w:left w:val="none" w:sz="0" w:space="0" w:color="auto"/>
            <w:bottom w:val="none" w:sz="0" w:space="0" w:color="auto"/>
            <w:right w:val="none" w:sz="0" w:space="0" w:color="auto"/>
          </w:divBdr>
          <w:divsChild>
            <w:div w:id="1462114219">
              <w:marLeft w:val="0"/>
              <w:marRight w:val="0"/>
              <w:marTop w:val="0"/>
              <w:marBottom w:val="0"/>
              <w:divBdr>
                <w:top w:val="none" w:sz="0" w:space="0" w:color="auto"/>
                <w:left w:val="none" w:sz="0" w:space="0" w:color="auto"/>
                <w:bottom w:val="none" w:sz="0" w:space="0" w:color="auto"/>
                <w:right w:val="none" w:sz="0" w:space="0" w:color="auto"/>
              </w:divBdr>
              <w:divsChild>
                <w:div w:id="2047178402">
                  <w:marLeft w:val="0"/>
                  <w:marRight w:val="0"/>
                  <w:marTop w:val="0"/>
                  <w:marBottom w:val="0"/>
                  <w:divBdr>
                    <w:top w:val="none" w:sz="0" w:space="0" w:color="auto"/>
                    <w:left w:val="none" w:sz="0" w:space="0" w:color="auto"/>
                    <w:bottom w:val="none" w:sz="0" w:space="0" w:color="auto"/>
                    <w:right w:val="none" w:sz="0" w:space="0" w:color="auto"/>
                  </w:divBdr>
                  <w:divsChild>
                    <w:div w:id="1876574472">
                      <w:marLeft w:val="0"/>
                      <w:marRight w:val="0"/>
                      <w:marTop w:val="0"/>
                      <w:marBottom w:val="0"/>
                      <w:divBdr>
                        <w:top w:val="none" w:sz="0" w:space="0" w:color="auto"/>
                        <w:left w:val="none" w:sz="0" w:space="0" w:color="auto"/>
                        <w:bottom w:val="none" w:sz="0" w:space="0" w:color="auto"/>
                        <w:right w:val="none" w:sz="0" w:space="0" w:color="auto"/>
                      </w:divBdr>
                      <w:divsChild>
                        <w:div w:id="487089319">
                          <w:marLeft w:val="0"/>
                          <w:marRight w:val="0"/>
                          <w:marTop w:val="0"/>
                          <w:marBottom w:val="0"/>
                          <w:divBdr>
                            <w:top w:val="none" w:sz="0" w:space="0" w:color="auto"/>
                            <w:left w:val="none" w:sz="0" w:space="0" w:color="auto"/>
                            <w:bottom w:val="none" w:sz="0" w:space="0" w:color="auto"/>
                            <w:right w:val="none" w:sz="0" w:space="0" w:color="auto"/>
                          </w:divBdr>
                          <w:divsChild>
                            <w:div w:id="600181364">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sChild>
                                    <w:div w:id="13921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752360">
      <w:bodyDiv w:val="1"/>
      <w:marLeft w:val="0"/>
      <w:marRight w:val="0"/>
      <w:marTop w:val="0"/>
      <w:marBottom w:val="0"/>
      <w:divBdr>
        <w:top w:val="none" w:sz="0" w:space="0" w:color="auto"/>
        <w:left w:val="none" w:sz="0" w:space="0" w:color="auto"/>
        <w:bottom w:val="none" w:sz="0" w:space="0" w:color="auto"/>
        <w:right w:val="none" w:sz="0" w:space="0" w:color="auto"/>
      </w:divBdr>
      <w:divsChild>
        <w:div w:id="182402252">
          <w:marLeft w:val="0"/>
          <w:marRight w:val="0"/>
          <w:marTop w:val="0"/>
          <w:marBottom w:val="0"/>
          <w:divBdr>
            <w:top w:val="none" w:sz="0" w:space="0" w:color="auto"/>
            <w:left w:val="none" w:sz="0" w:space="0" w:color="auto"/>
            <w:bottom w:val="none" w:sz="0" w:space="0" w:color="auto"/>
            <w:right w:val="none" w:sz="0" w:space="0" w:color="auto"/>
          </w:divBdr>
          <w:divsChild>
            <w:div w:id="1011445034">
              <w:marLeft w:val="0"/>
              <w:marRight w:val="0"/>
              <w:marTop w:val="0"/>
              <w:marBottom w:val="0"/>
              <w:divBdr>
                <w:top w:val="none" w:sz="0" w:space="0" w:color="auto"/>
                <w:left w:val="none" w:sz="0" w:space="0" w:color="auto"/>
                <w:bottom w:val="none" w:sz="0" w:space="0" w:color="auto"/>
                <w:right w:val="none" w:sz="0" w:space="0" w:color="auto"/>
              </w:divBdr>
              <w:divsChild>
                <w:div w:id="1880780122">
                  <w:marLeft w:val="0"/>
                  <w:marRight w:val="0"/>
                  <w:marTop w:val="0"/>
                  <w:marBottom w:val="0"/>
                  <w:divBdr>
                    <w:top w:val="none" w:sz="0" w:space="0" w:color="auto"/>
                    <w:left w:val="none" w:sz="0" w:space="0" w:color="auto"/>
                    <w:bottom w:val="none" w:sz="0" w:space="0" w:color="auto"/>
                    <w:right w:val="none" w:sz="0" w:space="0" w:color="auto"/>
                  </w:divBdr>
                  <w:divsChild>
                    <w:div w:id="2019261852">
                      <w:marLeft w:val="0"/>
                      <w:marRight w:val="0"/>
                      <w:marTop w:val="0"/>
                      <w:marBottom w:val="0"/>
                      <w:divBdr>
                        <w:top w:val="none" w:sz="0" w:space="0" w:color="auto"/>
                        <w:left w:val="none" w:sz="0" w:space="0" w:color="auto"/>
                        <w:bottom w:val="none" w:sz="0" w:space="0" w:color="auto"/>
                        <w:right w:val="none" w:sz="0" w:space="0" w:color="auto"/>
                      </w:divBdr>
                      <w:divsChild>
                        <w:div w:id="264924558">
                          <w:marLeft w:val="0"/>
                          <w:marRight w:val="0"/>
                          <w:marTop w:val="0"/>
                          <w:marBottom w:val="0"/>
                          <w:divBdr>
                            <w:top w:val="none" w:sz="0" w:space="0" w:color="auto"/>
                            <w:left w:val="none" w:sz="0" w:space="0" w:color="auto"/>
                            <w:bottom w:val="none" w:sz="0" w:space="0" w:color="auto"/>
                            <w:right w:val="none" w:sz="0" w:space="0" w:color="auto"/>
                          </w:divBdr>
                          <w:divsChild>
                            <w:div w:id="13651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buying-for-schools/3d-run-your-own-procurement-high-value-and-eu-ten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transposing-eu-procurement-directiv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jec.com/thresholds.aspx" TargetMode="External"/><Relationship Id="rId5" Type="http://schemas.openxmlformats.org/officeDocument/2006/relationships/settings" Target="settings.xml"/><Relationship Id="rId15" Type="http://schemas.openxmlformats.org/officeDocument/2006/relationships/hyperlink" Target="https://www.gov.uk/guidance/buying-for-schools/3d-run-your-own-procurement-high-value-and-eu-tenders" TargetMode="External"/><Relationship Id="rId10" Type="http://schemas.openxmlformats.org/officeDocument/2006/relationships/hyperlink" Target="http://www.communityacademiestrus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uidance/buying-for-schools/3d-run-your-own-procurement-high-value-and-eu-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DC00-B516-4979-9C5A-4B92B471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Turner PHS</dc:creator>
  <cp:lastModifiedBy>Claire Cotton</cp:lastModifiedBy>
  <cp:revision>6</cp:revision>
  <cp:lastPrinted>2017-12-12T11:16:00Z</cp:lastPrinted>
  <dcterms:created xsi:type="dcterms:W3CDTF">2018-04-05T08:49:00Z</dcterms:created>
  <dcterms:modified xsi:type="dcterms:W3CDTF">2018-04-24T14:06:00Z</dcterms:modified>
</cp:coreProperties>
</file>